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5B1" w:rsidRDefault="002A25B1">
      <w:pPr>
        <w:spacing w:line="276" w:lineRule="auto"/>
        <w:rPr>
          <w:rFonts w:ascii="Arial" w:hAnsi="Arial"/>
          <w:sz w:val="21"/>
          <w:szCs w:val="21"/>
          <w:lang w:val="es-ES"/>
        </w:rPr>
      </w:pPr>
      <w:bookmarkStart w:id="0" w:name="_GoBack"/>
      <w:bookmarkEnd w:id="0"/>
    </w:p>
    <w:p w:rsidR="002A25B1" w:rsidRDefault="002A25B1">
      <w:pPr>
        <w:spacing w:line="276" w:lineRule="auto"/>
        <w:rPr>
          <w:rFonts w:ascii="Arial" w:hAnsi="Arial"/>
          <w:sz w:val="21"/>
          <w:szCs w:val="21"/>
          <w:lang w:val="es-ES"/>
        </w:rPr>
      </w:pPr>
    </w:p>
    <w:p w:rsidR="002A25B1" w:rsidRDefault="002A25B1">
      <w:pPr>
        <w:spacing w:line="276" w:lineRule="auto"/>
        <w:rPr>
          <w:rFonts w:ascii="Arial" w:hAnsi="Arial"/>
          <w:sz w:val="21"/>
          <w:szCs w:val="21"/>
          <w:lang w:val="es-ES"/>
        </w:rPr>
      </w:pPr>
    </w:p>
    <w:p w:rsidR="002A25B1" w:rsidRDefault="002A25B1">
      <w:pPr>
        <w:spacing w:line="276" w:lineRule="auto"/>
        <w:rPr>
          <w:rFonts w:ascii="Arial" w:hAnsi="Arial"/>
          <w:sz w:val="21"/>
          <w:szCs w:val="21"/>
          <w:lang w:val="es-ES"/>
        </w:rPr>
      </w:pPr>
    </w:p>
    <w:p w:rsidR="002A25B1" w:rsidRDefault="002A25B1">
      <w:pPr>
        <w:spacing w:line="276" w:lineRule="auto"/>
        <w:rPr>
          <w:rFonts w:ascii="Arial" w:hAnsi="Arial"/>
          <w:sz w:val="21"/>
          <w:szCs w:val="21"/>
          <w:lang w:val="es-ES"/>
        </w:rPr>
      </w:pPr>
    </w:p>
    <w:p w:rsidR="002A25B1" w:rsidRDefault="002A25B1">
      <w:pPr>
        <w:spacing w:line="276" w:lineRule="auto"/>
        <w:rPr>
          <w:rFonts w:ascii="Arial" w:hAnsi="Arial"/>
          <w:sz w:val="21"/>
          <w:szCs w:val="21"/>
          <w:lang w:val="es-ES"/>
        </w:rPr>
      </w:pPr>
    </w:p>
    <w:p w:rsidR="002A25B1" w:rsidRDefault="002A25B1">
      <w:pPr>
        <w:spacing w:line="276" w:lineRule="auto"/>
        <w:rPr>
          <w:rFonts w:ascii="Arial" w:hAnsi="Arial"/>
          <w:sz w:val="21"/>
          <w:szCs w:val="21"/>
          <w:lang w:val="es-ES"/>
        </w:rPr>
      </w:pPr>
    </w:p>
    <w:p w:rsidR="002A25B1" w:rsidRDefault="00CF6985">
      <w:pPr>
        <w:spacing w:line="276" w:lineRule="auto"/>
        <w:jc w:val="center"/>
        <w:rPr>
          <w:rFonts w:ascii="Arial" w:hAnsi="Arial"/>
          <w:b/>
          <w:bCs/>
          <w:sz w:val="22"/>
          <w:szCs w:val="22"/>
          <w:u w:val="single"/>
          <w:lang w:val="es-ES"/>
        </w:rPr>
      </w:pPr>
      <w:r>
        <w:rPr>
          <w:rFonts w:ascii="Arial" w:hAnsi="Arial"/>
          <w:b/>
          <w:bCs/>
          <w:sz w:val="21"/>
          <w:szCs w:val="21"/>
          <w:lang w:val="es-ES"/>
        </w:rPr>
        <w:t>EXPOSICIÓN DE MOTIVOS</w:t>
      </w:r>
    </w:p>
    <w:p w:rsidR="002A25B1" w:rsidRDefault="002A25B1">
      <w:pPr>
        <w:spacing w:line="276" w:lineRule="auto"/>
        <w:jc w:val="center"/>
        <w:rPr>
          <w:rFonts w:ascii="Arial" w:hAnsi="Arial"/>
          <w:b/>
          <w:bCs/>
          <w:sz w:val="21"/>
          <w:szCs w:val="21"/>
          <w:u w:val="single"/>
          <w:lang w:val="es-ES"/>
        </w:rPr>
      </w:pPr>
    </w:p>
    <w:p w:rsidR="002A25B1" w:rsidRDefault="002A25B1">
      <w:pPr>
        <w:spacing w:line="276" w:lineRule="auto"/>
        <w:jc w:val="both"/>
        <w:rPr>
          <w:rFonts w:ascii="Arial" w:hAnsi="Arial"/>
          <w:b/>
          <w:bCs/>
          <w:sz w:val="21"/>
          <w:szCs w:val="21"/>
          <w:lang w:val="es-ES"/>
        </w:rPr>
      </w:pPr>
    </w:p>
    <w:p w:rsidR="002A25B1" w:rsidRDefault="002A25B1">
      <w:pPr>
        <w:spacing w:line="276" w:lineRule="auto"/>
        <w:jc w:val="both"/>
        <w:rPr>
          <w:rFonts w:ascii="Arial" w:hAnsi="Arial"/>
          <w:sz w:val="21"/>
          <w:szCs w:val="21"/>
          <w:lang w:val="es-ES"/>
        </w:rPr>
      </w:pPr>
    </w:p>
    <w:p w:rsidR="002A25B1" w:rsidRDefault="00CF6985">
      <w:pPr>
        <w:spacing w:line="276" w:lineRule="auto"/>
        <w:jc w:val="center"/>
        <w:rPr>
          <w:rFonts w:ascii="Arial" w:hAnsi="Arial"/>
          <w:sz w:val="21"/>
          <w:szCs w:val="21"/>
        </w:rPr>
      </w:pPr>
      <w:r>
        <w:rPr>
          <w:rFonts w:ascii="Arial" w:hAnsi="Arial"/>
          <w:b/>
          <w:bCs/>
          <w:sz w:val="21"/>
          <w:szCs w:val="21"/>
          <w:lang w:val="es-ES"/>
        </w:rPr>
        <w:t>I</w:t>
      </w:r>
    </w:p>
    <w:p w:rsidR="002A25B1" w:rsidRDefault="002A25B1">
      <w:pPr>
        <w:spacing w:line="276" w:lineRule="auto"/>
        <w:jc w:val="center"/>
        <w:rPr>
          <w:rFonts w:ascii="Arial" w:hAnsi="Arial"/>
          <w:b/>
          <w:bCs/>
          <w:sz w:val="21"/>
          <w:szCs w:val="21"/>
          <w:lang w:val="es-ES"/>
        </w:rPr>
      </w:pPr>
    </w:p>
    <w:p w:rsidR="002A25B1" w:rsidRDefault="002A25B1">
      <w:pPr>
        <w:spacing w:line="276" w:lineRule="auto"/>
        <w:jc w:val="center"/>
        <w:rPr>
          <w:rFonts w:ascii="Arial" w:hAnsi="Arial"/>
          <w:b/>
          <w:bCs/>
          <w:sz w:val="21"/>
          <w:szCs w:val="21"/>
          <w:lang w:val="es-ES"/>
        </w:rPr>
      </w:pPr>
    </w:p>
    <w:p w:rsidR="002A25B1" w:rsidRDefault="002A25B1">
      <w:pPr>
        <w:spacing w:line="276" w:lineRule="auto"/>
        <w:jc w:val="center"/>
        <w:rPr>
          <w:rFonts w:ascii="Arial" w:hAnsi="Arial"/>
          <w:b/>
          <w:bCs/>
          <w:sz w:val="21"/>
          <w:szCs w:val="21"/>
          <w:lang w:val="es-ES"/>
        </w:rPr>
      </w:pPr>
    </w:p>
    <w:p w:rsidR="002A25B1" w:rsidRDefault="00CF6985">
      <w:pPr>
        <w:spacing w:line="276" w:lineRule="auto"/>
        <w:jc w:val="both"/>
        <w:rPr>
          <w:rFonts w:ascii="Arial" w:hAnsi="Arial"/>
          <w:sz w:val="21"/>
          <w:szCs w:val="21"/>
        </w:rPr>
      </w:pPr>
      <w:r>
        <w:rPr>
          <w:rFonts w:ascii="Arial" w:hAnsi="Arial"/>
          <w:sz w:val="21"/>
          <w:szCs w:val="21"/>
          <w:lang w:val="es-ES"/>
        </w:rPr>
        <w:t>La Ley Orgánica 10/1995, de 23 de noviembre, del Código Penal, modificó sustancialmente el delito de sedición, al ser trasladado del capítulo relativo a los delitos contra l</w:t>
      </w:r>
      <w:r>
        <w:rPr>
          <w:rFonts w:ascii="Arial" w:hAnsi="Arial"/>
          <w:sz w:val="21"/>
          <w:szCs w:val="21"/>
          <w:lang w:val="es-ES"/>
        </w:rPr>
        <w:t xml:space="preserve">a seguridad interior del Estado a los delitos de desorden público. El delito de rebelión pasó al mismo tiempo a constituir un delito contra la Constitución. </w:t>
      </w:r>
    </w:p>
    <w:p w:rsidR="002A25B1" w:rsidRDefault="002A25B1">
      <w:pPr>
        <w:spacing w:line="276" w:lineRule="auto"/>
        <w:jc w:val="both"/>
        <w:rPr>
          <w:rFonts w:ascii="Arial" w:hAnsi="Arial"/>
          <w:sz w:val="21"/>
          <w:szCs w:val="21"/>
          <w:lang w:val="es-ES"/>
        </w:rPr>
      </w:pPr>
    </w:p>
    <w:p w:rsidR="002A25B1" w:rsidRDefault="00CF6985">
      <w:pPr>
        <w:spacing w:line="276" w:lineRule="auto"/>
        <w:jc w:val="both"/>
        <w:rPr>
          <w:rFonts w:ascii="Arial" w:hAnsi="Arial"/>
          <w:sz w:val="21"/>
          <w:szCs w:val="21"/>
        </w:rPr>
      </w:pPr>
      <w:r>
        <w:rPr>
          <w:rFonts w:ascii="Arial" w:hAnsi="Arial"/>
          <w:sz w:val="21"/>
          <w:szCs w:val="21"/>
          <w:lang w:val="es-ES"/>
        </w:rPr>
        <w:t xml:space="preserve">La redacción actual del delito de sedición, establecida en el artículo 544 de la </w:t>
      </w:r>
      <w:r>
        <w:rPr>
          <w:rFonts w:ascii="Arial" w:hAnsi="Arial"/>
          <w:color w:val="000000"/>
          <w:sz w:val="21"/>
          <w:szCs w:val="21"/>
          <w:lang w:val="es-ES"/>
        </w:rPr>
        <w:t>Ley Orgánica 10/</w:t>
      </w:r>
      <w:r>
        <w:rPr>
          <w:rFonts w:ascii="Arial" w:hAnsi="Arial"/>
          <w:color w:val="000000"/>
          <w:sz w:val="21"/>
          <w:szCs w:val="21"/>
          <w:lang w:val="es-ES"/>
        </w:rPr>
        <w:t>1995, de 23 de noviembre, del Código Penal</w:t>
      </w:r>
      <w:r>
        <w:rPr>
          <w:rFonts w:ascii="Arial" w:hAnsi="Arial"/>
          <w:sz w:val="21"/>
          <w:szCs w:val="21"/>
          <w:lang w:val="es-ES"/>
        </w:rPr>
        <w:t>, no contempla en su definición el requisito de la violencia o la amenaza de violencia, como sí está previsto, por ejemplo, en los elementos del tipo de atentado o desórdenes públicos, lo que puede dar lugar a inte</w:t>
      </w:r>
      <w:r>
        <w:rPr>
          <w:rFonts w:ascii="Arial" w:hAnsi="Arial"/>
          <w:sz w:val="21"/>
          <w:szCs w:val="21"/>
          <w:lang w:val="es-ES"/>
        </w:rPr>
        <w:t>rpretaciones extensivas.</w:t>
      </w:r>
    </w:p>
    <w:p w:rsidR="002A25B1" w:rsidRDefault="002A25B1">
      <w:pPr>
        <w:spacing w:line="276" w:lineRule="auto"/>
        <w:jc w:val="center"/>
        <w:rPr>
          <w:rFonts w:ascii="Arial" w:hAnsi="Arial"/>
          <w:b/>
          <w:bCs/>
          <w:sz w:val="21"/>
          <w:szCs w:val="21"/>
          <w:lang w:val="es-ES"/>
        </w:rPr>
      </w:pPr>
    </w:p>
    <w:p w:rsidR="002A25B1" w:rsidRDefault="00CF6985">
      <w:pPr>
        <w:spacing w:line="276" w:lineRule="auto"/>
        <w:jc w:val="both"/>
        <w:rPr>
          <w:rFonts w:ascii="Arial" w:hAnsi="Arial"/>
          <w:sz w:val="21"/>
          <w:szCs w:val="21"/>
        </w:rPr>
      </w:pPr>
      <w:r>
        <w:rPr>
          <w:rFonts w:ascii="Arial" w:hAnsi="Arial"/>
          <w:sz w:val="21"/>
          <w:szCs w:val="21"/>
          <w:lang w:val="es-ES"/>
        </w:rPr>
        <w:t>La Sentencia 469/2019, de 14 de octubre de 2019, fue la primera ocasión en que el Tribunal Supremo interpretó y aplicó el tipo de sedición desde la entrada en vigor de la Ley Orgánica 10/1995, de 23 de noviembre, del Código Penal.</w:t>
      </w:r>
      <w:r>
        <w:rPr>
          <w:rFonts w:ascii="Arial" w:hAnsi="Arial"/>
          <w:sz w:val="21"/>
          <w:szCs w:val="21"/>
          <w:lang w:val="es-ES"/>
        </w:rPr>
        <w:t xml:space="preserve"> </w:t>
      </w:r>
    </w:p>
    <w:p w:rsidR="002A25B1" w:rsidRDefault="002A25B1">
      <w:pPr>
        <w:spacing w:line="276" w:lineRule="auto"/>
        <w:jc w:val="both"/>
        <w:rPr>
          <w:rFonts w:ascii="Arial" w:hAnsi="Arial"/>
          <w:sz w:val="21"/>
          <w:szCs w:val="21"/>
          <w:lang w:val="es-ES"/>
        </w:rPr>
      </w:pPr>
    </w:p>
    <w:p w:rsidR="002A25B1" w:rsidRDefault="00CF6985">
      <w:pPr>
        <w:spacing w:line="276" w:lineRule="auto"/>
        <w:jc w:val="both"/>
        <w:rPr>
          <w:rFonts w:ascii="Arial" w:hAnsi="Arial"/>
          <w:sz w:val="21"/>
          <w:szCs w:val="21"/>
        </w:rPr>
      </w:pPr>
      <w:r>
        <w:rPr>
          <w:rFonts w:ascii="Arial" w:hAnsi="Arial"/>
          <w:sz w:val="21"/>
          <w:szCs w:val="21"/>
          <w:lang w:val="es-ES"/>
        </w:rPr>
        <w:t xml:space="preserve">La condena por el delito sedición de esta Sentencia se fundamenta en que el mismo, según la interpretación del Tribunal Supremo, no recoge explícitamente en su definición el recurso a la violencia o la amenaza de violencia. </w:t>
      </w:r>
    </w:p>
    <w:p w:rsidR="002A25B1" w:rsidRDefault="002A25B1">
      <w:pPr>
        <w:spacing w:line="276" w:lineRule="auto"/>
        <w:jc w:val="both"/>
        <w:rPr>
          <w:rFonts w:ascii="Arial" w:hAnsi="Arial"/>
          <w:sz w:val="21"/>
          <w:szCs w:val="21"/>
          <w:lang w:val="es-ES"/>
        </w:rPr>
      </w:pPr>
    </w:p>
    <w:p w:rsidR="002A25B1" w:rsidRDefault="00CF6985">
      <w:pPr>
        <w:spacing w:line="276" w:lineRule="auto"/>
        <w:jc w:val="both"/>
        <w:rPr>
          <w:rFonts w:ascii="Arial" w:hAnsi="Arial"/>
          <w:sz w:val="21"/>
          <w:szCs w:val="21"/>
        </w:rPr>
      </w:pPr>
      <w:r>
        <w:rPr>
          <w:rFonts w:ascii="Arial" w:hAnsi="Arial"/>
          <w:sz w:val="21"/>
          <w:szCs w:val="21"/>
          <w:lang w:val="es-ES"/>
        </w:rPr>
        <w:t>Amnistía Internacional ha publicado su informe “España: libertad de reunión y de expresión, y principio de legalidad, a la luz de la sentencia del Tribunal Supremo en la causa especial 3/20907/2017”, basado en las obligaciones internacionales que el Estado</w:t>
      </w:r>
      <w:r>
        <w:rPr>
          <w:rFonts w:ascii="Arial" w:hAnsi="Arial"/>
          <w:sz w:val="21"/>
          <w:szCs w:val="21"/>
          <w:lang w:val="es-ES"/>
        </w:rPr>
        <w:t xml:space="preserve"> español ha asumido al ratificar los distintos instrumentos internacionales de derechos humanos. </w:t>
      </w:r>
    </w:p>
    <w:p w:rsidR="002A25B1" w:rsidRDefault="002A25B1">
      <w:pPr>
        <w:spacing w:line="276" w:lineRule="auto"/>
        <w:jc w:val="center"/>
        <w:rPr>
          <w:rFonts w:ascii="Arial" w:hAnsi="Arial"/>
          <w:b/>
          <w:bCs/>
          <w:sz w:val="21"/>
          <w:szCs w:val="21"/>
          <w:lang w:val="es-ES"/>
        </w:rPr>
      </w:pPr>
    </w:p>
    <w:p w:rsidR="002A25B1" w:rsidRDefault="00CF6985">
      <w:pPr>
        <w:spacing w:line="276" w:lineRule="auto"/>
        <w:jc w:val="both"/>
        <w:rPr>
          <w:rFonts w:ascii="Arial" w:hAnsi="Arial"/>
          <w:sz w:val="21"/>
          <w:szCs w:val="21"/>
        </w:rPr>
      </w:pPr>
      <w:r>
        <w:rPr>
          <w:rFonts w:ascii="Arial" w:hAnsi="Arial"/>
          <w:sz w:val="21"/>
          <w:szCs w:val="21"/>
          <w:lang w:val="es-ES"/>
        </w:rPr>
        <w:t xml:space="preserve">La organización defensora de los derechos humanos insta al Estado español a revisar sustancialmente la definición del tipo penal de sedición para garantizar </w:t>
      </w:r>
      <w:r>
        <w:rPr>
          <w:rFonts w:ascii="Arial" w:hAnsi="Arial"/>
          <w:sz w:val="21"/>
          <w:szCs w:val="21"/>
          <w:lang w:val="es-ES"/>
        </w:rPr>
        <w:t xml:space="preserve">que no criminaliza indebidamente actos de desobediencia civil pacífica, ni impone penas desproporcionadas para acciones relacionadas con el ejercicio de las libertades de expresión y reunión pacífica. </w:t>
      </w:r>
    </w:p>
    <w:p w:rsidR="002A25B1" w:rsidRDefault="002A25B1">
      <w:pPr>
        <w:spacing w:line="276" w:lineRule="auto"/>
        <w:jc w:val="both"/>
        <w:rPr>
          <w:rFonts w:ascii="Arial" w:hAnsi="Arial"/>
          <w:sz w:val="21"/>
          <w:szCs w:val="21"/>
          <w:lang w:val="es-ES"/>
        </w:rPr>
      </w:pPr>
    </w:p>
    <w:p w:rsidR="002A25B1" w:rsidRDefault="002A25B1">
      <w:pPr>
        <w:spacing w:line="276" w:lineRule="auto"/>
        <w:jc w:val="both"/>
        <w:rPr>
          <w:rFonts w:ascii="Arial" w:hAnsi="Arial"/>
          <w:sz w:val="21"/>
          <w:szCs w:val="21"/>
          <w:lang w:val="es-ES"/>
        </w:rPr>
      </w:pPr>
    </w:p>
    <w:p w:rsidR="002A25B1" w:rsidRDefault="002A25B1">
      <w:pPr>
        <w:spacing w:line="276" w:lineRule="auto"/>
        <w:jc w:val="both"/>
        <w:rPr>
          <w:rFonts w:ascii="Arial" w:hAnsi="Arial"/>
          <w:sz w:val="21"/>
          <w:szCs w:val="21"/>
          <w:lang w:val="es-ES"/>
        </w:rPr>
      </w:pPr>
    </w:p>
    <w:p w:rsidR="002A25B1" w:rsidRDefault="002A25B1">
      <w:pPr>
        <w:spacing w:line="276" w:lineRule="auto"/>
        <w:jc w:val="both"/>
        <w:rPr>
          <w:rFonts w:ascii="Arial" w:hAnsi="Arial"/>
          <w:sz w:val="21"/>
          <w:szCs w:val="21"/>
          <w:lang w:val="es-ES"/>
        </w:rPr>
      </w:pPr>
    </w:p>
    <w:p w:rsidR="002A25B1" w:rsidRDefault="00CF6985">
      <w:pPr>
        <w:spacing w:line="276" w:lineRule="auto"/>
        <w:jc w:val="center"/>
        <w:rPr>
          <w:rFonts w:hint="eastAsia"/>
          <w:b/>
          <w:bCs/>
        </w:rPr>
      </w:pPr>
      <w:r>
        <w:rPr>
          <w:rFonts w:ascii="Arial" w:hAnsi="Arial"/>
          <w:b/>
          <w:bCs/>
          <w:sz w:val="21"/>
          <w:szCs w:val="21"/>
          <w:lang w:val="es-ES"/>
        </w:rPr>
        <w:t>II</w:t>
      </w:r>
    </w:p>
    <w:p w:rsidR="002A25B1" w:rsidRDefault="002A25B1">
      <w:pPr>
        <w:spacing w:line="276" w:lineRule="auto"/>
        <w:jc w:val="center"/>
        <w:rPr>
          <w:rFonts w:ascii="Arial" w:hAnsi="Arial"/>
          <w:sz w:val="21"/>
          <w:szCs w:val="21"/>
          <w:lang w:val="es-ES"/>
        </w:rPr>
      </w:pPr>
    </w:p>
    <w:p w:rsidR="002A25B1" w:rsidRDefault="002A25B1">
      <w:pPr>
        <w:spacing w:line="276" w:lineRule="auto"/>
        <w:jc w:val="both"/>
        <w:rPr>
          <w:rFonts w:ascii="Arial" w:hAnsi="Arial"/>
          <w:b/>
          <w:bCs/>
          <w:sz w:val="21"/>
          <w:szCs w:val="21"/>
          <w:lang w:val="es-ES"/>
        </w:rPr>
      </w:pPr>
    </w:p>
    <w:p w:rsidR="002A25B1" w:rsidRDefault="00CF6985">
      <w:pPr>
        <w:spacing w:line="276" w:lineRule="auto"/>
        <w:jc w:val="both"/>
        <w:rPr>
          <w:rFonts w:ascii="Arial" w:hAnsi="Arial"/>
          <w:sz w:val="21"/>
          <w:szCs w:val="21"/>
        </w:rPr>
      </w:pPr>
      <w:r>
        <w:rPr>
          <w:rFonts w:ascii="Arial" w:hAnsi="Arial"/>
          <w:sz w:val="21"/>
          <w:szCs w:val="21"/>
          <w:lang w:val="es-ES"/>
        </w:rPr>
        <w:t xml:space="preserve">El derecho de reunión es un cauce del principio democrático participativo y por lo tanto, uno de los ejes vertebradores de un Estado que se configura por la Constitución como social y democrático de Derecho. </w:t>
      </w:r>
    </w:p>
    <w:p w:rsidR="002A25B1" w:rsidRDefault="002A25B1">
      <w:pPr>
        <w:spacing w:line="276" w:lineRule="auto"/>
        <w:jc w:val="both"/>
        <w:rPr>
          <w:rFonts w:hint="eastAsia"/>
          <w:lang w:val="es-ES"/>
        </w:rPr>
      </w:pPr>
    </w:p>
    <w:p w:rsidR="002A25B1" w:rsidRDefault="00CF6985">
      <w:pPr>
        <w:spacing w:line="276" w:lineRule="auto"/>
        <w:jc w:val="both"/>
        <w:rPr>
          <w:rFonts w:ascii="Arial" w:hAnsi="Arial"/>
          <w:sz w:val="21"/>
          <w:szCs w:val="21"/>
        </w:rPr>
      </w:pPr>
      <w:r>
        <w:rPr>
          <w:rFonts w:ascii="Arial" w:hAnsi="Arial"/>
          <w:sz w:val="21"/>
          <w:szCs w:val="21"/>
          <w:lang w:val="es-ES"/>
        </w:rPr>
        <w:t>La norma fundamental reconoce en su artículo 2</w:t>
      </w:r>
      <w:r>
        <w:rPr>
          <w:rFonts w:ascii="Arial" w:hAnsi="Arial"/>
          <w:sz w:val="21"/>
          <w:szCs w:val="21"/>
          <w:lang w:val="es-ES"/>
        </w:rPr>
        <w:t xml:space="preserve">1 el derecho de reunión pacífica y sin armas, estableciendo que el ejercicio de este derecho no necesitará autorización previa. </w:t>
      </w:r>
    </w:p>
    <w:p w:rsidR="002A25B1" w:rsidRDefault="002A25B1">
      <w:pPr>
        <w:spacing w:line="276" w:lineRule="auto"/>
        <w:jc w:val="both"/>
        <w:rPr>
          <w:rFonts w:ascii="Arial" w:hAnsi="Arial"/>
          <w:sz w:val="21"/>
          <w:szCs w:val="21"/>
          <w:lang w:val="es-ES"/>
        </w:rPr>
      </w:pPr>
    </w:p>
    <w:p w:rsidR="002A25B1" w:rsidRDefault="00CF6985">
      <w:pPr>
        <w:spacing w:line="276" w:lineRule="auto"/>
        <w:jc w:val="both"/>
        <w:rPr>
          <w:rFonts w:ascii="Arial" w:hAnsi="Arial"/>
          <w:sz w:val="21"/>
          <w:szCs w:val="21"/>
        </w:rPr>
      </w:pPr>
      <w:r>
        <w:rPr>
          <w:rFonts w:ascii="Arial" w:hAnsi="Arial"/>
          <w:sz w:val="21"/>
          <w:szCs w:val="21"/>
          <w:lang w:val="es-ES"/>
        </w:rPr>
        <w:t>Según ha sentenciado el Tribunal Constitucional, su ejercicio “forma parte de aquellos derechos que, según el art. 10 de la Co</w:t>
      </w:r>
      <w:r>
        <w:rPr>
          <w:rFonts w:ascii="Arial" w:hAnsi="Arial"/>
          <w:sz w:val="21"/>
          <w:szCs w:val="21"/>
          <w:lang w:val="es-ES"/>
        </w:rPr>
        <w:t>nstitución, son el fundamento del orden político y de la paz social” (STC 236/2007, de 7 de noviembre, FJ 6).</w:t>
      </w:r>
    </w:p>
    <w:p w:rsidR="002A25B1" w:rsidRDefault="002A25B1">
      <w:pPr>
        <w:spacing w:line="276" w:lineRule="auto"/>
        <w:jc w:val="both"/>
        <w:rPr>
          <w:rFonts w:ascii="Arial" w:hAnsi="Arial"/>
          <w:b/>
          <w:bCs/>
          <w:sz w:val="21"/>
          <w:szCs w:val="21"/>
          <w:lang w:val="es-ES"/>
        </w:rPr>
      </w:pPr>
    </w:p>
    <w:p w:rsidR="002A25B1" w:rsidRDefault="00CF6985">
      <w:pPr>
        <w:spacing w:line="276" w:lineRule="auto"/>
        <w:jc w:val="both"/>
        <w:rPr>
          <w:rFonts w:hint="eastAsia"/>
        </w:rPr>
      </w:pPr>
      <w:r>
        <w:rPr>
          <w:rFonts w:ascii="Arial" w:hAnsi="Arial"/>
          <w:color w:val="000000"/>
          <w:sz w:val="21"/>
          <w:szCs w:val="21"/>
          <w:lang w:val="es-ES"/>
        </w:rPr>
        <w:t>El derecho de reunión se configura doctrinalmente como un derecho del que participan elementos de la libertad de expresión y del derecho de asoci</w:t>
      </w:r>
      <w:r>
        <w:rPr>
          <w:rFonts w:ascii="Arial" w:hAnsi="Arial"/>
          <w:color w:val="000000"/>
          <w:sz w:val="21"/>
          <w:szCs w:val="21"/>
          <w:lang w:val="es-ES"/>
        </w:rPr>
        <w:t xml:space="preserve">ación. </w:t>
      </w:r>
    </w:p>
    <w:p w:rsidR="002A25B1" w:rsidRDefault="002A25B1">
      <w:pPr>
        <w:spacing w:line="276" w:lineRule="auto"/>
        <w:jc w:val="both"/>
        <w:rPr>
          <w:rFonts w:ascii="Arial" w:hAnsi="Arial"/>
          <w:color w:val="000000"/>
          <w:sz w:val="21"/>
          <w:szCs w:val="21"/>
          <w:lang w:val="es-ES"/>
        </w:rPr>
      </w:pPr>
    </w:p>
    <w:p w:rsidR="002A25B1" w:rsidRDefault="00CF6985">
      <w:pPr>
        <w:pStyle w:val="Textoindependiente"/>
        <w:jc w:val="both"/>
        <w:rPr>
          <w:rFonts w:ascii="Arial" w:hAnsi="Arial"/>
          <w:sz w:val="21"/>
          <w:szCs w:val="21"/>
        </w:rPr>
      </w:pPr>
      <w:r>
        <w:rPr>
          <w:rFonts w:ascii="Arial" w:hAnsi="Arial"/>
          <w:bCs/>
          <w:color w:val="000000"/>
          <w:sz w:val="21"/>
          <w:szCs w:val="21"/>
          <w:lang w:val="es-ES"/>
        </w:rPr>
        <w:t>Debido a la especial transcendencia y protección que tiene este derecho fundamental en nuestro ordenamiento jurídico, las reuniones no pueden ser disueltas de no producirse alteraciones del orden público o de incurrir en algún motivo expreso de il</w:t>
      </w:r>
      <w:r>
        <w:rPr>
          <w:rFonts w:ascii="Arial" w:hAnsi="Arial"/>
          <w:bCs/>
          <w:color w:val="000000"/>
          <w:sz w:val="21"/>
          <w:szCs w:val="21"/>
          <w:lang w:val="es-ES"/>
        </w:rPr>
        <w:t xml:space="preserve">egalidad. </w:t>
      </w:r>
    </w:p>
    <w:p w:rsidR="002A25B1" w:rsidRDefault="00CF6985">
      <w:pPr>
        <w:pStyle w:val="Textoindependiente"/>
        <w:jc w:val="both"/>
        <w:rPr>
          <w:rFonts w:hint="eastAsia"/>
        </w:rPr>
      </w:pPr>
      <w:r>
        <w:rPr>
          <w:rFonts w:ascii="Arial" w:hAnsi="Arial"/>
          <w:bCs/>
          <w:color w:val="000000"/>
          <w:sz w:val="21"/>
          <w:szCs w:val="21"/>
          <w:lang w:val="es-ES"/>
        </w:rPr>
        <w:t xml:space="preserve">En este sentido hay que destacar también, como ha hecho la jurisprudencia, el principio “pro </w:t>
      </w:r>
      <w:proofErr w:type="spellStart"/>
      <w:r>
        <w:rPr>
          <w:rFonts w:ascii="Arial" w:hAnsi="Arial"/>
          <w:bCs/>
          <w:color w:val="000000"/>
          <w:sz w:val="21"/>
          <w:szCs w:val="21"/>
          <w:lang w:val="es-ES"/>
        </w:rPr>
        <w:t>libertate</w:t>
      </w:r>
      <w:proofErr w:type="spellEnd"/>
      <w:r>
        <w:rPr>
          <w:rFonts w:ascii="Arial" w:hAnsi="Arial"/>
          <w:bCs/>
          <w:color w:val="000000"/>
          <w:sz w:val="21"/>
          <w:szCs w:val="21"/>
          <w:lang w:val="es-ES"/>
        </w:rPr>
        <w:t xml:space="preserve">” frente a los intentos de limitación injustificada o con escasa justificación (STC 170/2008, de 9 de enero, FJ 3). </w:t>
      </w:r>
    </w:p>
    <w:p w:rsidR="002A25B1" w:rsidRDefault="00CF6985">
      <w:pPr>
        <w:pStyle w:val="Textoindependiente"/>
        <w:jc w:val="both"/>
        <w:rPr>
          <w:rFonts w:hint="eastAsia"/>
        </w:rPr>
      </w:pPr>
      <w:r>
        <w:rPr>
          <w:rFonts w:ascii="Arial" w:hAnsi="Arial"/>
          <w:bCs/>
          <w:color w:val="000000"/>
          <w:sz w:val="21"/>
          <w:szCs w:val="21"/>
          <w:lang w:val="es-ES"/>
        </w:rPr>
        <w:t xml:space="preserve">Igualmente, las reuniones </w:t>
      </w:r>
      <w:r>
        <w:rPr>
          <w:rFonts w:ascii="Arial" w:hAnsi="Arial"/>
          <w:bCs/>
          <w:color w:val="000000"/>
          <w:sz w:val="21"/>
          <w:szCs w:val="21"/>
          <w:lang w:val="es-ES"/>
        </w:rPr>
        <w:t xml:space="preserve">solo pueden considerarse ilegales los supuestos expresamente tipificados en el Código Penal como reuniones para cometer delitos o integradas por personas que porten armas (arts. 513-514 del Código Penal). </w:t>
      </w:r>
    </w:p>
    <w:p w:rsidR="002A25B1" w:rsidRDefault="002A25B1">
      <w:pPr>
        <w:spacing w:line="276" w:lineRule="auto"/>
        <w:jc w:val="both"/>
        <w:rPr>
          <w:rFonts w:ascii="Arial" w:hAnsi="Arial"/>
          <w:b/>
          <w:bCs/>
          <w:sz w:val="21"/>
          <w:szCs w:val="21"/>
          <w:lang w:val="es-ES"/>
        </w:rPr>
      </w:pPr>
    </w:p>
    <w:p w:rsidR="002A25B1" w:rsidRDefault="00CF6985">
      <w:pPr>
        <w:spacing w:line="276" w:lineRule="auto"/>
        <w:jc w:val="both"/>
        <w:rPr>
          <w:rFonts w:ascii="Arial" w:hAnsi="Arial"/>
          <w:sz w:val="21"/>
          <w:szCs w:val="21"/>
        </w:rPr>
      </w:pPr>
      <w:r>
        <w:rPr>
          <w:rFonts w:ascii="Arial" w:hAnsi="Arial"/>
          <w:sz w:val="21"/>
          <w:szCs w:val="21"/>
          <w:lang w:val="es-ES"/>
        </w:rPr>
        <w:t>La libertad de reunión pacífica se reconoce asimi</w:t>
      </w:r>
      <w:r>
        <w:rPr>
          <w:rFonts w:ascii="Arial" w:hAnsi="Arial"/>
          <w:sz w:val="21"/>
          <w:szCs w:val="21"/>
          <w:lang w:val="es-ES"/>
        </w:rPr>
        <w:t xml:space="preserve">smo en los principales instrumentos de derechos humanos, como la Declaración Universal de Derechos Humanos, que establece en el art. 20.1 que «Toda persona tiene derecho a la libertad de reunión y de asociación pacíficas». </w:t>
      </w:r>
    </w:p>
    <w:p w:rsidR="002A25B1" w:rsidRDefault="002A25B1">
      <w:pPr>
        <w:spacing w:line="276" w:lineRule="auto"/>
        <w:jc w:val="both"/>
        <w:rPr>
          <w:rFonts w:ascii="Arial" w:hAnsi="Arial"/>
          <w:sz w:val="21"/>
          <w:szCs w:val="21"/>
          <w:lang w:val="es-ES"/>
        </w:rPr>
      </w:pPr>
    </w:p>
    <w:p w:rsidR="002A25B1" w:rsidRDefault="00CF6985">
      <w:pPr>
        <w:spacing w:line="276" w:lineRule="auto"/>
        <w:jc w:val="both"/>
        <w:rPr>
          <w:rFonts w:ascii="Arial" w:hAnsi="Arial"/>
          <w:sz w:val="21"/>
          <w:szCs w:val="21"/>
        </w:rPr>
      </w:pPr>
      <w:r>
        <w:rPr>
          <w:rFonts w:ascii="Arial" w:hAnsi="Arial"/>
          <w:sz w:val="21"/>
          <w:szCs w:val="21"/>
          <w:lang w:val="es-ES"/>
        </w:rPr>
        <w:t>De forma similar, está prevista por el Pacto Internacional de Derechos Civiles y Políticos, así como en el Convenio Europeo de Derechos Humanos y la interpretación amplia y garantista que del mismo realiza el Tribunal Europeo de Derechos Humanos, que ha fo</w:t>
      </w:r>
      <w:r>
        <w:rPr>
          <w:rFonts w:ascii="Arial" w:hAnsi="Arial"/>
          <w:sz w:val="21"/>
          <w:szCs w:val="21"/>
          <w:lang w:val="es-ES"/>
        </w:rPr>
        <w:t xml:space="preserve">rmulado la libertad de reunión y la libertad de expresión, como fundamentos de una sociedad democrática (asuntos </w:t>
      </w:r>
      <w:proofErr w:type="spellStart"/>
      <w:r>
        <w:rPr>
          <w:rFonts w:ascii="Arial" w:hAnsi="Arial"/>
          <w:sz w:val="21"/>
          <w:szCs w:val="21"/>
          <w:lang w:val="es-ES"/>
        </w:rPr>
        <w:t>Navalnyy</w:t>
      </w:r>
      <w:proofErr w:type="spellEnd"/>
      <w:r>
        <w:rPr>
          <w:rFonts w:ascii="Arial" w:hAnsi="Arial"/>
          <w:sz w:val="21"/>
          <w:szCs w:val="21"/>
          <w:lang w:val="es-ES"/>
        </w:rPr>
        <w:t xml:space="preserve"> c. </w:t>
      </w:r>
      <w:proofErr w:type="spellStart"/>
      <w:r>
        <w:rPr>
          <w:rFonts w:ascii="Arial" w:hAnsi="Arial"/>
          <w:sz w:val="21"/>
          <w:szCs w:val="21"/>
          <w:lang w:val="es-ES"/>
        </w:rPr>
        <w:t>Russia</w:t>
      </w:r>
      <w:proofErr w:type="spellEnd"/>
      <w:r>
        <w:rPr>
          <w:rFonts w:ascii="Arial" w:hAnsi="Arial"/>
          <w:sz w:val="21"/>
          <w:szCs w:val="21"/>
          <w:lang w:val="es-ES"/>
        </w:rPr>
        <w:t xml:space="preserve">, párr. 71; </w:t>
      </w:r>
      <w:proofErr w:type="spellStart"/>
      <w:r>
        <w:rPr>
          <w:rFonts w:ascii="Arial" w:hAnsi="Arial"/>
          <w:sz w:val="21"/>
          <w:szCs w:val="21"/>
          <w:lang w:val="es-ES"/>
        </w:rPr>
        <w:t>Stern</w:t>
      </w:r>
      <w:proofErr w:type="spellEnd"/>
      <w:r>
        <w:rPr>
          <w:rFonts w:ascii="Arial" w:hAnsi="Arial"/>
          <w:sz w:val="21"/>
          <w:szCs w:val="21"/>
          <w:lang w:val="es-ES"/>
        </w:rPr>
        <w:t xml:space="preserve"> </w:t>
      </w:r>
      <w:proofErr w:type="spellStart"/>
      <w:r>
        <w:rPr>
          <w:rFonts w:ascii="Arial" w:hAnsi="Arial"/>
          <w:sz w:val="21"/>
          <w:szCs w:val="21"/>
          <w:lang w:val="es-ES"/>
        </w:rPr>
        <w:t>Taulats</w:t>
      </w:r>
      <w:proofErr w:type="spellEnd"/>
      <w:r>
        <w:rPr>
          <w:rFonts w:ascii="Arial" w:hAnsi="Arial"/>
          <w:sz w:val="21"/>
          <w:szCs w:val="21"/>
          <w:lang w:val="es-ES"/>
        </w:rPr>
        <w:t xml:space="preserve"> y </w:t>
      </w:r>
      <w:proofErr w:type="spellStart"/>
      <w:r>
        <w:rPr>
          <w:rFonts w:ascii="Arial" w:hAnsi="Arial"/>
          <w:sz w:val="21"/>
          <w:szCs w:val="21"/>
          <w:lang w:val="es-ES"/>
        </w:rPr>
        <w:t>Roura</w:t>
      </w:r>
      <w:proofErr w:type="spellEnd"/>
      <w:r>
        <w:rPr>
          <w:rFonts w:ascii="Arial" w:hAnsi="Arial"/>
          <w:sz w:val="21"/>
          <w:szCs w:val="21"/>
          <w:lang w:val="es-ES"/>
        </w:rPr>
        <w:t xml:space="preserve"> </w:t>
      </w:r>
      <w:proofErr w:type="spellStart"/>
      <w:r>
        <w:rPr>
          <w:rFonts w:ascii="Arial" w:hAnsi="Arial"/>
          <w:sz w:val="21"/>
          <w:szCs w:val="21"/>
          <w:lang w:val="es-ES"/>
        </w:rPr>
        <w:t>Capellera</w:t>
      </w:r>
      <w:proofErr w:type="spellEnd"/>
      <w:r>
        <w:rPr>
          <w:rFonts w:ascii="Arial" w:hAnsi="Arial"/>
          <w:sz w:val="21"/>
          <w:szCs w:val="21"/>
          <w:lang w:val="es-ES"/>
        </w:rPr>
        <w:t xml:space="preserve"> c. España, párr. 30). </w:t>
      </w:r>
    </w:p>
    <w:p w:rsidR="002A25B1" w:rsidRDefault="002A25B1">
      <w:pPr>
        <w:spacing w:line="276" w:lineRule="auto"/>
        <w:jc w:val="both"/>
        <w:rPr>
          <w:rFonts w:ascii="Arial" w:hAnsi="Arial"/>
          <w:sz w:val="21"/>
          <w:szCs w:val="21"/>
          <w:lang w:val="es-ES"/>
        </w:rPr>
      </w:pPr>
    </w:p>
    <w:p w:rsidR="002A25B1" w:rsidRDefault="00CF6985">
      <w:pPr>
        <w:spacing w:line="276" w:lineRule="auto"/>
        <w:jc w:val="both"/>
        <w:rPr>
          <w:rFonts w:ascii="Arial" w:hAnsi="Arial"/>
          <w:sz w:val="21"/>
          <w:szCs w:val="21"/>
          <w:lang w:val="es-ES"/>
        </w:rPr>
      </w:pPr>
      <w:r>
        <w:rPr>
          <w:rFonts w:ascii="Arial" w:hAnsi="Arial"/>
          <w:sz w:val="21"/>
          <w:szCs w:val="21"/>
          <w:lang w:val="es-ES"/>
        </w:rPr>
        <w:t>Como es sabido, estos tratados internacionales sirven com</w:t>
      </w:r>
      <w:r>
        <w:rPr>
          <w:rFonts w:ascii="Arial" w:hAnsi="Arial"/>
          <w:sz w:val="21"/>
          <w:szCs w:val="21"/>
          <w:lang w:val="es-ES"/>
        </w:rPr>
        <w:t xml:space="preserve">o parámetro interpretativo de los derechos fundamentales, de acuerdo con el artículo 10.2 de la Constitución. </w:t>
      </w:r>
    </w:p>
    <w:p w:rsidR="002A25B1" w:rsidRDefault="002A25B1">
      <w:pPr>
        <w:spacing w:line="276" w:lineRule="auto"/>
        <w:jc w:val="both"/>
        <w:rPr>
          <w:rFonts w:ascii="Arial" w:hAnsi="Arial"/>
          <w:sz w:val="21"/>
          <w:szCs w:val="21"/>
          <w:lang w:val="es-ES"/>
        </w:rPr>
      </w:pPr>
    </w:p>
    <w:p w:rsidR="002A25B1" w:rsidRDefault="00CF6985">
      <w:pPr>
        <w:spacing w:line="276" w:lineRule="auto"/>
        <w:jc w:val="both"/>
        <w:rPr>
          <w:rFonts w:ascii="Arial" w:hAnsi="Arial"/>
          <w:sz w:val="21"/>
          <w:szCs w:val="21"/>
        </w:rPr>
      </w:pPr>
      <w:r>
        <w:rPr>
          <w:rFonts w:ascii="Arial" w:hAnsi="Arial"/>
          <w:sz w:val="21"/>
          <w:szCs w:val="21"/>
          <w:lang w:val="es-ES"/>
        </w:rPr>
        <w:t>En concreto, según la jurisprudencia del TEDH, la libertad de reunión pacífica solo excluye de su protección aquellas reuniones en que los organ</w:t>
      </w:r>
      <w:r>
        <w:rPr>
          <w:rFonts w:ascii="Arial" w:hAnsi="Arial"/>
          <w:sz w:val="21"/>
          <w:szCs w:val="21"/>
          <w:lang w:val="es-ES"/>
        </w:rPr>
        <w:t xml:space="preserve">izadores y los participantes tengan intenciones violentas, inciten a la violencia o rechacen los fundamentos de una sociedad democrática (asunto </w:t>
      </w:r>
      <w:proofErr w:type="spellStart"/>
      <w:r>
        <w:rPr>
          <w:rFonts w:ascii="Arial" w:hAnsi="Arial"/>
          <w:sz w:val="21"/>
          <w:szCs w:val="21"/>
          <w:lang w:val="es-ES"/>
        </w:rPr>
        <w:t>Kudrevičius</w:t>
      </w:r>
      <w:proofErr w:type="spellEnd"/>
      <w:r>
        <w:rPr>
          <w:rFonts w:ascii="Arial" w:hAnsi="Arial"/>
          <w:sz w:val="21"/>
          <w:szCs w:val="21"/>
          <w:lang w:val="es-ES"/>
        </w:rPr>
        <w:t xml:space="preserve"> and </w:t>
      </w:r>
      <w:proofErr w:type="spellStart"/>
      <w:r>
        <w:rPr>
          <w:rFonts w:ascii="Arial" w:hAnsi="Arial"/>
          <w:sz w:val="21"/>
          <w:szCs w:val="21"/>
          <w:lang w:val="es-ES"/>
        </w:rPr>
        <w:t>Others</w:t>
      </w:r>
      <w:proofErr w:type="spellEnd"/>
      <w:r>
        <w:rPr>
          <w:rFonts w:ascii="Arial" w:hAnsi="Arial"/>
          <w:sz w:val="21"/>
          <w:szCs w:val="21"/>
          <w:lang w:val="es-ES"/>
        </w:rPr>
        <w:t xml:space="preserve"> c. </w:t>
      </w:r>
      <w:proofErr w:type="spellStart"/>
      <w:r>
        <w:rPr>
          <w:rFonts w:ascii="Arial" w:hAnsi="Arial"/>
          <w:sz w:val="21"/>
          <w:szCs w:val="21"/>
          <w:lang w:val="es-ES"/>
        </w:rPr>
        <w:t>Lithuania</w:t>
      </w:r>
      <w:proofErr w:type="spellEnd"/>
      <w:r>
        <w:rPr>
          <w:rFonts w:ascii="Arial" w:hAnsi="Arial"/>
          <w:sz w:val="21"/>
          <w:szCs w:val="21"/>
          <w:lang w:val="es-ES"/>
        </w:rPr>
        <w:t>, párr. 92). La caracterización de la violencia en estos casos, según el TED</w:t>
      </w:r>
      <w:r>
        <w:rPr>
          <w:rFonts w:ascii="Arial" w:hAnsi="Arial"/>
          <w:sz w:val="21"/>
          <w:szCs w:val="21"/>
          <w:lang w:val="es-ES"/>
        </w:rPr>
        <w:t>H, debe realizarse de manera restrictiva.</w:t>
      </w:r>
    </w:p>
    <w:p w:rsidR="002A25B1" w:rsidRDefault="002A25B1">
      <w:pPr>
        <w:spacing w:line="276" w:lineRule="auto"/>
        <w:jc w:val="both"/>
        <w:rPr>
          <w:rFonts w:ascii="Arial" w:hAnsi="Arial"/>
          <w:sz w:val="21"/>
          <w:szCs w:val="21"/>
          <w:lang w:val="es-ES"/>
        </w:rPr>
      </w:pPr>
    </w:p>
    <w:p w:rsidR="002A25B1" w:rsidRDefault="002A25B1">
      <w:pPr>
        <w:spacing w:line="276" w:lineRule="auto"/>
        <w:jc w:val="both"/>
        <w:rPr>
          <w:rFonts w:ascii="Arial" w:hAnsi="Arial"/>
          <w:sz w:val="21"/>
          <w:szCs w:val="21"/>
          <w:lang w:val="es-ES"/>
        </w:rPr>
      </w:pPr>
    </w:p>
    <w:p w:rsidR="002A25B1" w:rsidRDefault="00CF6985">
      <w:pPr>
        <w:spacing w:line="276" w:lineRule="auto"/>
        <w:jc w:val="both"/>
        <w:rPr>
          <w:rFonts w:ascii="Arial" w:hAnsi="Arial"/>
          <w:sz w:val="21"/>
          <w:szCs w:val="21"/>
        </w:rPr>
      </w:pPr>
      <w:r>
        <w:rPr>
          <w:rFonts w:ascii="Arial" w:hAnsi="Arial"/>
          <w:sz w:val="21"/>
          <w:szCs w:val="21"/>
          <w:lang w:val="es-ES"/>
        </w:rPr>
        <w:t>En una línea similar, la Oficina de Instituciones Democráticas y Derechos Humanos (OIDDH) de la Organización para la Seguridad y la Cooperación en Europa (OSCE) y la Comisión de Venecia, órgano consultivo del Con</w:t>
      </w:r>
      <w:r>
        <w:rPr>
          <w:rFonts w:ascii="Arial" w:hAnsi="Arial"/>
          <w:sz w:val="21"/>
          <w:szCs w:val="21"/>
          <w:lang w:val="es-ES"/>
        </w:rPr>
        <w:t>sejo de Europa, en sus Directrices sobre la libertad de reunión pacífica, incluyen los casos de desobediencia civil, entendida como una conducta que incumple intencionalmente la ley de una forma que los participantes creen que amplifica o promueve su mensa</w:t>
      </w:r>
      <w:r>
        <w:rPr>
          <w:rFonts w:ascii="Arial" w:hAnsi="Arial"/>
          <w:sz w:val="21"/>
          <w:szCs w:val="21"/>
          <w:lang w:val="es-ES"/>
        </w:rPr>
        <w:t>je; afirmando que en estos casos, las respuestas del Estado deben también ser proporcionales (</w:t>
      </w:r>
      <w:proofErr w:type="spellStart"/>
      <w:r>
        <w:rPr>
          <w:rFonts w:ascii="Arial" w:hAnsi="Arial"/>
          <w:sz w:val="21"/>
          <w:szCs w:val="21"/>
          <w:lang w:val="es-ES"/>
        </w:rPr>
        <w:t>Venice</w:t>
      </w:r>
      <w:proofErr w:type="spellEnd"/>
      <w:r>
        <w:rPr>
          <w:rFonts w:ascii="Arial" w:hAnsi="Arial"/>
          <w:sz w:val="21"/>
          <w:szCs w:val="21"/>
          <w:lang w:val="es-ES"/>
        </w:rPr>
        <w:t xml:space="preserve"> </w:t>
      </w:r>
      <w:proofErr w:type="spellStart"/>
      <w:r>
        <w:rPr>
          <w:rFonts w:ascii="Arial" w:hAnsi="Arial"/>
          <w:sz w:val="21"/>
          <w:szCs w:val="21"/>
          <w:lang w:val="es-ES"/>
        </w:rPr>
        <w:t>Commision</w:t>
      </w:r>
      <w:proofErr w:type="spellEnd"/>
      <w:r>
        <w:rPr>
          <w:rFonts w:ascii="Arial" w:hAnsi="Arial"/>
          <w:sz w:val="21"/>
          <w:szCs w:val="21"/>
          <w:lang w:val="es-ES"/>
        </w:rPr>
        <w:t xml:space="preserve">, OSCE/ODIHR, </w:t>
      </w:r>
      <w:proofErr w:type="spellStart"/>
      <w:r>
        <w:rPr>
          <w:rFonts w:ascii="Arial" w:hAnsi="Arial"/>
          <w:sz w:val="21"/>
          <w:szCs w:val="21"/>
          <w:lang w:val="es-ES"/>
        </w:rPr>
        <w:t>Guidelines</w:t>
      </w:r>
      <w:proofErr w:type="spellEnd"/>
      <w:r>
        <w:rPr>
          <w:rFonts w:ascii="Arial" w:hAnsi="Arial"/>
          <w:sz w:val="21"/>
          <w:szCs w:val="21"/>
          <w:lang w:val="es-ES"/>
        </w:rPr>
        <w:t xml:space="preserve"> </w:t>
      </w:r>
      <w:proofErr w:type="spellStart"/>
      <w:r>
        <w:rPr>
          <w:rFonts w:ascii="Arial" w:hAnsi="Arial"/>
          <w:sz w:val="21"/>
          <w:szCs w:val="21"/>
          <w:lang w:val="es-ES"/>
        </w:rPr>
        <w:t>on</w:t>
      </w:r>
      <w:proofErr w:type="spellEnd"/>
      <w:r>
        <w:rPr>
          <w:rFonts w:ascii="Arial" w:hAnsi="Arial"/>
          <w:sz w:val="21"/>
          <w:szCs w:val="21"/>
          <w:lang w:val="es-ES"/>
        </w:rPr>
        <w:t xml:space="preserve"> </w:t>
      </w:r>
      <w:proofErr w:type="spellStart"/>
      <w:r>
        <w:rPr>
          <w:rFonts w:ascii="Arial" w:hAnsi="Arial"/>
          <w:sz w:val="21"/>
          <w:szCs w:val="21"/>
          <w:lang w:val="es-ES"/>
        </w:rPr>
        <w:t>Freedom</w:t>
      </w:r>
      <w:proofErr w:type="spellEnd"/>
      <w:r>
        <w:rPr>
          <w:rFonts w:ascii="Arial" w:hAnsi="Arial"/>
          <w:sz w:val="21"/>
          <w:szCs w:val="21"/>
          <w:lang w:val="es-ES"/>
        </w:rPr>
        <w:t xml:space="preserve"> of </w:t>
      </w:r>
      <w:proofErr w:type="spellStart"/>
      <w:r>
        <w:rPr>
          <w:rFonts w:ascii="Arial" w:hAnsi="Arial"/>
          <w:sz w:val="21"/>
          <w:szCs w:val="21"/>
          <w:lang w:val="es-ES"/>
        </w:rPr>
        <w:t>Peaceful</w:t>
      </w:r>
      <w:proofErr w:type="spellEnd"/>
      <w:r>
        <w:rPr>
          <w:rFonts w:ascii="Arial" w:hAnsi="Arial"/>
          <w:sz w:val="21"/>
          <w:szCs w:val="21"/>
          <w:lang w:val="es-ES"/>
        </w:rPr>
        <w:t xml:space="preserve"> </w:t>
      </w:r>
      <w:proofErr w:type="spellStart"/>
      <w:r>
        <w:rPr>
          <w:rFonts w:ascii="Arial" w:hAnsi="Arial"/>
          <w:sz w:val="21"/>
          <w:szCs w:val="21"/>
          <w:lang w:val="es-ES"/>
        </w:rPr>
        <w:t>Assembly</w:t>
      </w:r>
      <w:proofErr w:type="spellEnd"/>
      <w:r>
        <w:rPr>
          <w:rFonts w:ascii="Arial" w:hAnsi="Arial"/>
          <w:sz w:val="21"/>
          <w:szCs w:val="21"/>
          <w:lang w:val="es-ES"/>
        </w:rPr>
        <w:t xml:space="preserve">, 3ª edición, 2019, párr. 11 y 228).  </w:t>
      </w:r>
    </w:p>
    <w:p w:rsidR="002A25B1" w:rsidRDefault="002A25B1">
      <w:pPr>
        <w:spacing w:line="276" w:lineRule="auto"/>
        <w:jc w:val="both"/>
        <w:rPr>
          <w:rFonts w:ascii="Arial" w:hAnsi="Arial"/>
          <w:sz w:val="21"/>
          <w:szCs w:val="21"/>
          <w:lang w:val="es-ES"/>
        </w:rPr>
      </w:pPr>
    </w:p>
    <w:p w:rsidR="002A25B1" w:rsidRDefault="00CF6985">
      <w:pPr>
        <w:spacing w:line="276" w:lineRule="auto"/>
        <w:jc w:val="both"/>
        <w:rPr>
          <w:rFonts w:ascii="Arial" w:hAnsi="Arial"/>
          <w:sz w:val="21"/>
          <w:szCs w:val="21"/>
          <w:lang w:val="es-ES"/>
        </w:rPr>
      </w:pPr>
      <w:r>
        <w:rPr>
          <w:rFonts w:ascii="Arial" w:hAnsi="Arial"/>
          <w:sz w:val="21"/>
          <w:szCs w:val="21"/>
          <w:lang w:val="es-ES"/>
        </w:rPr>
        <w:lastRenderedPageBreak/>
        <w:t>Además, de acuerdo con los mismos estándares inter</w:t>
      </w:r>
      <w:r>
        <w:rPr>
          <w:rFonts w:ascii="Arial" w:hAnsi="Arial"/>
          <w:sz w:val="21"/>
          <w:szCs w:val="21"/>
          <w:lang w:val="es-ES"/>
        </w:rPr>
        <w:t>nacionales de protección de derechos humanos, una manifestación no pierde su carácter pacífico por el recurso a la resistencia pasiva, por la comisión de alguna ilegalidad o por el recurso al uso de la violencia por parte de algunos manifestantes (OSCE / O</w:t>
      </w:r>
      <w:r>
        <w:rPr>
          <w:rFonts w:ascii="Arial" w:hAnsi="Arial"/>
          <w:sz w:val="21"/>
          <w:szCs w:val="21"/>
          <w:lang w:val="es-ES"/>
        </w:rPr>
        <w:t xml:space="preserve">DIHR. </w:t>
      </w:r>
      <w:r>
        <w:rPr>
          <w:rFonts w:ascii="Arial" w:hAnsi="Arial"/>
          <w:sz w:val="21"/>
          <w:szCs w:val="21"/>
          <w:lang w:val="en-US"/>
        </w:rPr>
        <w:t xml:space="preserve">Guidelines on Freedom of Peaceful Assembly, 2ª </w:t>
      </w:r>
      <w:proofErr w:type="spellStart"/>
      <w:r>
        <w:rPr>
          <w:rFonts w:ascii="Arial" w:hAnsi="Arial"/>
          <w:sz w:val="21"/>
          <w:szCs w:val="21"/>
          <w:lang w:val="en-US"/>
        </w:rPr>
        <w:t>edición</w:t>
      </w:r>
      <w:proofErr w:type="spellEnd"/>
      <w:r>
        <w:rPr>
          <w:rFonts w:ascii="Arial" w:hAnsi="Arial"/>
          <w:sz w:val="21"/>
          <w:szCs w:val="21"/>
          <w:lang w:val="en-US"/>
        </w:rPr>
        <w:t xml:space="preserve">; </w:t>
      </w:r>
      <w:proofErr w:type="spellStart"/>
      <w:r>
        <w:rPr>
          <w:rFonts w:ascii="Arial" w:hAnsi="Arial"/>
          <w:sz w:val="21"/>
          <w:szCs w:val="21"/>
          <w:lang w:val="en-US"/>
        </w:rPr>
        <w:t>párrs</w:t>
      </w:r>
      <w:proofErr w:type="spellEnd"/>
      <w:r>
        <w:rPr>
          <w:rFonts w:ascii="Arial" w:hAnsi="Arial"/>
          <w:sz w:val="21"/>
          <w:szCs w:val="21"/>
          <w:lang w:val="en-US"/>
        </w:rPr>
        <w:t xml:space="preserve">. 25, 26, 28; TEDH, </w:t>
      </w:r>
      <w:proofErr w:type="spellStart"/>
      <w:r>
        <w:rPr>
          <w:rFonts w:ascii="Arial" w:hAnsi="Arial"/>
          <w:sz w:val="21"/>
          <w:szCs w:val="21"/>
          <w:lang w:val="en-US"/>
        </w:rPr>
        <w:t>Chernega</w:t>
      </w:r>
      <w:proofErr w:type="spellEnd"/>
      <w:r>
        <w:rPr>
          <w:rFonts w:ascii="Arial" w:hAnsi="Arial"/>
          <w:sz w:val="21"/>
          <w:szCs w:val="21"/>
          <w:lang w:val="en-US"/>
        </w:rPr>
        <w:t xml:space="preserve"> and others c. Ukraine, </w:t>
      </w:r>
      <w:proofErr w:type="spellStart"/>
      <w:r>
        <w:rPr>
          <w:rFonts w:ascii="Arial" w:hAnsi="Arial"/>
          <w:sz w:val="21"/>
          <w:szCs w:val="21"/>
          <w:lang w:val="en-US"/>
        </w:rPr>
        <w:t>párrs</w:t>
      </w:r>
      <w:proofErr w:type="spellEnd"/>
      <w:r>
        <w:rPr>
          <w:rFonts w:ascii="Arial" w:hAnsi="Arial"/>
          <w:sz w:val="21"/>
          <w:szCs w:val="21"/>
          <w:lang w:val="en-US"/>
        </w:rPr>
        <w:t xml:space="preserve">. </w:t>
      </w:r>
      <w:r>
        <w:rPr>
          <w:rFonts w:ascii="Arial" w:hAnsi="Arial"/>
          <w:sz w:val="21"/>
          <w:szCs w:val="21"/>
          <w:lang w:val="es-ES"/>
        </w:rPr>
        <w:t>264-267).</w:t>
      </w:r>
    </w:p>
    <w:p w:rsidR="002A25B1" w:rsidRDefault="002A25B1">
      <w:pPr>
        <w:spacing w:line="276" w:lineRule="auto"/>
        <w:jc w:val="both"/>
        <w:rPr>
          <w:rFonts w:ascii="Arial" w:hAnsi="Arial"/>
          <w:sz w:val="21"/>
          <w:szCs w:val="21"/>
          <w:lang w:val="es-ES"/>
        </w:rPr>
      </w:pPr>
    </w:p>
    <w:p w:rsidR="002A25B1" w:rsidRDefault="00CF6985">
      <w:pPr>
        <w:spacing w:line="276" w:lineRule="auto"/>
        <w:jc w:val="both"/>
        <w:rPr>
          <w:rFonts w:ascii="Arial" w:hAnsi="Arial"/>
          <w:sz w:val="21"/>
          <w:szCs w:val="21"/>
        </w:rPr>
      </w:pPr>
      <w:r>
        <w:rPr>
          <w:rFonts w:ascii="Arial" w:hAnsi="Arial"/>
          <w:sz w:val="21"/>
          <w:szCs w:val="21"/>
          <w:lang w:val="es-ES"/>
        </w:rPr>
        <w:t>En definitiva, según los estándares internacionales, las restricciones al derecho fundamental que imponen los Estados d</w:t>
      </w:r>
      <w:r>
        <w:rPr>
          <w:rFonts w:ascii="Arial" w:hAnsi="Arial"/>
          <w:sz w:val="21"/>
          <w:szCs w:val="21"/>
          <w:lang w:val="es-ES"/>
        </w:rPr>
        <w:t xml:space="preserve">eben cumplir en todo caso, los requisitos de legalidad, finalidad legítima, necesidad y proporcionalidad establecidos por los estándares internacionales de derechos humanos. </w:t>
      </w:r>
    </w:p>
    <w:p w:rsidR="002A25B1" w:rsidRDefault="002A25B1">
      <w:pPr>
        <w:spacing w:line="276" w:lineRule="auto"/>
        <w:jc w:val="both"/>
        <w:rPr>
          <w:rFonts w:ascii="Arial" w:hAnsi="Arial"/>
          <w:sz w:val="21"/>
          <w:szCs w:val="21"/>
          <w:lang w:val="es-ES"/>
        </w:rPr>
      </w:pPr>
    </w:p>
    <w:p w:rsidR="002A25B1" w:rsidRDefault="00CF6985">
      <w:pPr>
        <w:spacing w:line="276" w:lineRule="auto"/>
        <w:jc w:val="both"/>
        <w:rPr>
          <w:rFonts w:ascii="Arial" w:hAnsi="Arial"/>
          <w:sz w:val="21"/>
          <w:szCs w:val="21"/>
        </w:rPr>
      </w:pPr>
      <w:r>
        <w:rPr>
          <w:rFonts w:ascii="Arial" w:hAnsi="Arial"/>
          <w:sz w:val="21"/>
          <w:szCs w:val="21"/>
          <w:lang w:val="es-ES"/>
        </w:rPr>
        <w:t>Además, los Estados deben también tener en cuenta el posible efecto disuasorio “</w:t>
      </w:r>
      <w:proofErr w:type="spellStart"/>
      <w:r>
        <w:rPr>
          <w:rFonts w:ascii="Arial" w:hAnsi="Arial"/>
          <w:sz w:val="21"/>
          <w:szCs w:val="21"/>
          <w:lang w:val="es-ES"/>
        </w:rPr>
        <w:t>chilling</w:t>
      </w:r>
      <w:proofErr w:type="spellEnd"/>
      <w:r>
        <w:rPr>
          <w:rFonts w:ascii="Arial" w:hAnsi="Arial"/>
          <w:sz w:val="21"/>
          <w:szCs w:val="21"/>
          <w:lang w:val="es-ES"/>
        </w:rPr>
        <w:t xml:space="preserve"> </w:t>
      </w:r>
      <w:proofErr w:type="spellStart"/>
      <w:r>
        <w:rPr>
          <w:rFonts w:ascii="Arial" w:hAnsi="Arial"/>
          <w:sz w:val="21"/>
          <w:szCs w:val="21"/>
          <w:lang w:val="es-ES"/>
        </w:rPr>
        <w:t>efect</w:t>
      </w:r>
      <w:proofErr w:type="spellEnd"/>
      <w:r>
        <w:rPr>
          <w:rFonts w:ascii="Arial" w:hAnsi="Arial"/>
          <w:sz w:val="21"/>
          <w:szCs w:val="21"/>
          <w:lang w:val="es-ES"/>
        </w:rPr>
        <w:t xml:space="preserve">” que la imposición de limitaciones y sanciones tiene en el ejercicio de los derechos a la libertad de reunión y a la libertad de expresión. </w:t>
      </w:r>
    </w:p>
    <w:p w:rsidR="002A25B1" w:rsidRDefault="002A25B1">
      <w:pPr>
        <w:spacing w:line="276" w:lineRule="auto"/>
        <w:jc w:val="both"/>
        <w:rPr>
          <w:rFonts w:ascii="Arial" w:hAnsi="Arial"/>
          <w:sz w:val="21"/>
          <w:szCs w:val="21"/>
          <w:lang w:val="es-ES"/>
        </w:rPr>
      </w:pPr>
    </w:p>
    <w:p w:rsidR="002A25B1" w:rsidRDefault="002A25B1">
      <w:pPr>
        <w:spacing w:line="276" w:lineRule="auto"/>
        <w:jc w:val="center"/>
        <w:rPr>
          <w:rFonts w:ascii="Arial" w:hAnsi="Arial"/>
          <w:sz w:val="21"/>
          <w:szCs w:val="21"/>
          <w:lang w:val="es-ES"/>
        </w:rPr>
      </w:pPr>
    </w:p>
    <w:p w:rsidR="002A25B1" w:rsidRDefault="00CF6985">
      <w:pPr>
        <w:spacing w:line="276" w:lineRule="auto"/>
        <w:jc w:val="center"/>
        <w:rPr>
          <w:rFonts w:ascii="Arial" w:hAnsi="Arial"/>
          <w:b/>
          <w:bCs/>
          <w:sz w:val="21"/>
          <w:szCs w:val="21"/>
          <w:lang w:val="es-ES"/>
        </w:rPr>
      </w:pPr>
      <w:bookmarkStart w:id="1" w:name="__DdeLink__1817_3091935875"/>
      <w:bookmarkEnd w:id="1"/>
      <w:r>
        <w:rPr>
          <w:rFonts w:ascii="Arial" w:hAnsi="Arial"/>
          <w:b/>
          <w:bCs/>
          <w:sz w:val="21"/>
          <w:szCs w:val="21"/>
          <w:lang w:val="es-ES"/>
        </w:rPr>
        <w:t>III</w:t>
      </w:r>
    </w:p>
    <w:p w:rsidR="002A25B1" w:rsidRDefault="002A25B1">
      <w:pPr>
        <w:spacing w:line="276" w:lineRule="auto"/>
        <w:jc w:val="both"/>
        <w:rPr>
          <w:rFonts w:ascii="Arial" w:hAnsi="Arial"/>
          <w:b/>
          <w:bCs/>
          <w:sz w:val="21"/>
          <w:szCs w:val="21"/>
          <w:lang w:val="es-ES"/>
        </w:rPr>
      </w:pPr>
    </w:p>
    <w:p w:rsidR="002A25B1" w:rsidRDefault="002A25B1">
      <w:pPr>
        <w:spacing w:line="276" w:lineRule="auto"/>
        <w:jc w:val="both"/>
        <w:rPr>
          <w:rFonts w:ascii="Arial;Helvetica;sans-serif" w:hAnsi="Arial;Helvetica;sans-serif" w:hint="eastAsia"/>
        </w:rPr>
      </w:pPr>
    </w:p>
    <w:p w:rsidR="002A25B1" w:rsidRDefault="002A25B1">
      <w:pPr>
        <w:spacing w:line="276" w:lineRule="auto"/>
        <w:jc w:val="both"/>
        <w:rPr>
          <w:rFonts w:ascii="Arial;Helvetica;sans-serif" w:hAnsi="Arial;Helvetica;sans-serif" w:hint="eastAsia"/>
        </w:rPr>
      </w:pPr>
    </w:p>
    <w:p w:rsidR="002A25B1" w:rsidRDefault="00CF6985">
      <w:pPr>
        <w:spacing w:line="276" w:lineRule="auto"/>
        <w:jc w:val="both"/>
        <w:rPr>
          <w:rFonts w:hint="eastAsia"/>
        </w:rPr>
      </w:pPr>
      <w:r>
        <w:rPr>
          <w:rFonts w:ascii="Arial;Helvetica;sans-serif" w:hAnsi="Arial;Helvetica;sans-serif"/>
          <w:bCs/>
          <w:sz w:val="21"/>
          <w:szCs w:val="21"/>
          <w:lang w:val="es-ES"/>
        </w:rPr>
        <w:t>En estrecha relación con el derecho a la libertad de expresión, l</w:t>
      </w:r>
      <w:r>
        <w:rPr>
          <w:rFonts w:ascii="Arial;Helvetica;sans-serif" w:hAnsi="Arial;Helvetica;sans-serif"/>
          <w:bCs/>
          <w:sz w:val="21"/>
          <w:szCs w:val="21"/>
          <w:lang w:val="es-ES"/>
        </w:rPr>
        <w:t xml:space="preserve">a Constitución también garantiza, como derecho fundamental de especial protección, el derecho de huelga de los trabajadores y trabajadoras  para la defensa de sus intereses (art. 28.2 CE). Este es </w:t>
      </w:r>
      <w:r>
        <w:rPr>
          <w:rFonts w:ascii="Arial;Helvetica;sans-serif" w:hAnsi="Arial;Helvetica;sans-serif"/>
          <w:bCs/>
          <w:sz w:val="21"/>
          <w:szCs w:val="21"/>
          <w:lang w:val="es-ES"/>
        </w:rPr>
        <w:t>uno de los pilares fundamentales</w:t>
      </w:r>
      <w:r>
        <w:rPr>
          <w:rFonts w:ascii="Arial;Helvetica;sans-serif" w:hAnsi="Arial;Helvetica;sans-serif"/>
          <w:bCs/>
          <w:sz w:val="21"/>
          <w:szCs w:val="21"/>
          <w:lang w:val="es-ES"/>
        </w:rPr>
        <w:t xml:space="preserve"> en un estado social (art. </w:t>
      </w:r>
      <w:r>
        <w:rPr>
          <w:rFonts w:ascii="Arial;Helvetica;sans-serif" w:hAnsi="Arial;Helvetica;sans-serif"/>
          <w:bCs/>
          <w:sz w:val="21"/>
          <w:szCs w:val="21"/>
          <w:lang w:val="es-ES"/>
        </w:rPr>
        <w:t xml:space="preserve">1.1 CE). </w:t>
      </w:r>
    </w:p>
    <w:p w:rsidR="002A25B1" w:rsidRDefault="002A25B1">
      <w:pPr>
        <w:spacing w:line="276" w:lineRule="auto"/>
        <w:jc w:val="both"/>
        <w:rPr>
          <w:rFonts w:ascii="Arial;Helvetica;sans-serif" w:hAnsi="Arial;Helvetica;sans-serif" w:hint="eastAsia"/>
          <w:b/>
          <w:bCs/>
          <w:sz w:val="21"/>
          <w:szCs w:val="21"/>
          <w:lang w:val="es-ES"/>
        </w:rPr>
      </w:pPr>
    </w:p>
    <w:p w:rsidR="002A25B1" w:rsidRDefault="00CF6985">
      <w:pPr>
        <w:spacing w:line="276" w:lineRule="auto"/>
        <w:jc w:val="both"/>
        <w:rPr>
          <w:rFonts w:hint="eastAsia"/>
        </w:rPr>
      </w:pPr>
      <w:r>
        <w:rPr>
          <w:rFonts w:ascii="Arial" w:hAnsi="Arial"/>
          <w:bCs/>
          <w:color w:val="000000"/>
          <w:sz w:val="21"/>
          <w:szCs w:val="21"/>
        </w:rPr>
        <w:t xml:space="preserve">De </w:t>
      </w:r>
      <w:proofErr w:type="spellStart"/>
      <w:r>
        <w:rPr>
          <w:rFonts w:ascii="Arial" w:hAnsi="Arial"/>
          <w:bCs/>
          <w:color w:val="000000"/>
          <w:sz w:val="21"/>
          <w:szCs w:val="21"/>
        </w:rPr>
        <w:t>acuerdo</w:t>
      </w:r>
      <w:proofErr w:type="spellEnd"/>
      <w:r>
        <w:rPr>
          <w:rFonts w:ascii="Arial" w:hAnsi="Arial"/>
          <w:bCs/>
          <w:color w:val="000000"/>
          <w:sz w:val="21"/>
          <w:szCs w:val="21"/>
        </w:rPr>
        <w:t xml:space="preserve"> con la </w:t>
      </w:r>
      <w:proofErr w:type="spellStart"/>
      <w:r>
        <w:rPr>
          <w:rFonts w:ascii="Arial" w:hAnsi="Arial"/>
          <w:bCs/>
          <w:color w:val="000000"/>
          <w:sz w:val="21"/>
          <w:szCs w:val="21"/>
        </w:rPr>
        <w:t>ubicación</w:t>
      </w:r>
      <w:proofErr w:type="spellEnd"/>
      <w:r>
        <w:rPr>
          <w:rFonts w:ascii="Arial" w:hAnsi="Arial"/>
          <w:bCs/>
          <w:color w:val="000000"/>
          <w:sz w:val="21"/>
          <w:szCs w:val="21"/>
        </w:rPr>
        <w:t xml:space="preserve"> en el </w:t>
      </w:r>
      <w:proofErr w:type="spellStart"/>
      <w:r>
        <w:rPr>
          <w:rFonts w:ascii="Arial" w:hAnsi="Arial"/>
          <w:bCs/>
          <w:color w:val="000000"/>
          <w:sz w:val="21"/>
          <w:szCs w:val="21"/>
        </w:rPr>
        <w:t>texto</w:t>
      </w:r>
      <w:proofErr w:type="spellEnd"/>
      <w:r>
        <w:rPr>
          <w:rFonts w:ascii="Arial" w:hAnsi="Arial"/>
          <w:bCs/>
          <w:color w:val="000000"/>
          <w:sz w:val="21"/>
          <w:szCs w:val="21"/>
        </w:rPr>
        <w:t xml:space="preserve"> constitucional, el </w:t>
      </w:r>
      <w:proofErr w:type="spellStart"/>
      <w:r>
        <w:rPr>
          <w:rFonts w:ascii="Arial" w:hAnsi="Arial"/>
          <w:bCs/>
          <w:color w:val="000000"/>
          <w:sz w:val="21"/>
          <w:szCs w:val="21"/>
        </w:rPr>
        <w:t>d</w:t>
      </w:r>
      <w:r>
        <w:rPr>
          <w:rFonts w:ascii="Arial" w:hAnsi="Arial"/>
          <w:color w:val="000000"/>
          <w:sz w:val="21"/>
          <w:szCs w:val="21"/>
        </w:rPr>
        <w:t>erecho</w:t>
      </w:r>
      <w:proofErr w:type="spellEnd"/>
      <w:r>
        <w:rPr>
          <w:rFonts w:ascii="Arial" w:hAnsi="Arial"/>
          <w:color w:val="000000"/>
          <w:sz w:val="21"/>
          <w:szCs w:val="21"/>
        </w:rPr>
        <w:t xml:space="preserve"> de </w:t>
      </w:r>
      <w:proofErr w:type="spellStart"/>
      <w:r>
        <w:rPr>
          <w:rFonts w:ascii="Arial" w:hAnsi="Arial"/>
          <w:color w:val="000000"/>
          <w:sz w:val="21"/>
          <w:szCs w:val="21"/>
        </w:rPr>
        <w:t>huelga</w:t>
      </w:r>
      <w:proofErr w:type="spellEnd"/>
      <w:r>
        <w:rPr>
          <w:rFonts w:ascii="Arial" w:hAnsi="Arial"/>
          <w:color w:val="000000"/>
          <w:sz w:val="21"/>
          <w:szCs w:val="21"/>
        </w:rPr>
        <w:t xml:space="preserve"> es</w:t>
      </w:r>
      <w:r>
        <w:rPr>
          <w:rFonts w:ascii="Arial" w:hAnsi="Arial"/>
          <w:color w:val="000000"/>
          <w:sz w:val="21"/>
          <w:szCs w:val="21"/>
        </w:rPr>
        <w:t xml:space="preserve"> indispensable para afirmar los </w:t>
      </w:r>
      <w:proofErr w:type="spellStart"/>
      <w:r>
        <w:rPr>
          <w:rFonts w:ascii="Arial" w:hAnsi="Arial"/>
          <w:color w:val="000000"/>
          <w:sz w:val="21"/>
          <w:szCs w:val="21"/>
        </w:rPr>
        <w:t>derechos</w:t>
      </w:r>
      <w:proofErr w:type="spellEnd"/>
      <w:r>
        <w:rPr>
          <w:rFonts w:ascii="Arial" w:hAnsi="Arial"/>
          <w:color w:val="000000"/>
          <w:sz w:val="21"/>
          <w:szCs w:val="21"/>
        </w:rPr>
        <w:t xml:space="preserve"> de las </w:t>
      </w:r>
      <w:proofErr w:type="spellStart"/>
      <w:r>
        <w:rPr>
          <w:rFonts w:ascii="Arial" w:hAnsi="Arial"/>
          <w:color w:val="000000"/>
          <w:sz w:val="21"/>
          <w:szCs w:val="21"/>
        </w:rPr>
        <w:t>personas</w:t>
      </w:r>
      <w:proofErr w:type="spellEnd"/>
      <w:r>
        <w:rPr>
          <w:rFonts w:ascii="Arial" w:hAnsi="Arial"/>
          <w:color w:val="000000"/>
          <w:sz w:val="21"/>
          <w:szCs w:val="21"/>
        </w:rPr>
        <w:t xml:space="preserve"> </w:t>
      </w:r>
      <w:proofErr w:type="spellStart"/>
      <w:r>
        <w:rPr>
          <w:rFonts w:ascii="Arial" w:hAnsi="Arial"/>
          <w:color w:val="000000"/>
          <w:sz w:val="21"/>
          <w:szCs w:val="21"/>
        </w:rPr>
        <w:t>trabajadoras</w:t>
      </w:r>
      <w:proofErr w:type="spellEnd"/>
      <w:r>
        <w:rPr>
          <w:rFonts w:ascii="Arial" w:hAnsi="Arial"/>
          <w:color w:val="000000"/>
          <w:sz w:val="21"/>
          <w:szCs w:val="21"/>
        </w:rPr>
        <w:t xml:space="preserve">. </w:t>
      </w:r>
      <w:r>
        <w:rPr>
          <w:rFonts w:ascii="Arial" w:hAnsi="Arial"/>
          <w:color w:val="000000"/>
          <w:sz w:val="21"/>
          <w:szCs w:val="21"/>
        </w:rPr>
        <w:t xml:space="preserve">El </w:t>
      </w:r>
      <w:r>
        <w:rPr>
          <w:rFonts w:ascii="Arial" w:hAnsi="Arial"/>
          <w:color w:val="000000"/>
          <w:sz w:val="21"/>
          <w:szCs w:val="21"/>
        </w:rPr>
        <w:t xml:space="preserve">Tribunal Constitucional </w:t>
      </w:r>
      <w:proofErr w:type="spellStart"/>
      <w:r>
        <w:rPr>
          <w:rFonts w:ascii="Arial" w:hAnsi="Arial"/>
          <w:color w:val="000000"/>
          <w:sz w:val="21"/>
          <w:szCs w:val="21"/>
        </w:rPr>
        <w:t>estableció</w:t>
      </w:r>
      <w:proofErr w:type="spellEnd"/>
      <w:r>
        <w:rPr>
          <w:rFonts w:ascii="Arial" w:hAnsi="Arial"/>
          <w:color w:val="000000"/>
          <w:sz w:val="21"/>
          <w:szCs w:val="21"/>
        </w:rPr>
        <w:t xml:space="preserve"> </w:t>
      </w:r>
      <w:r>
        <w:rPr>
          <w:rFonts w:ascii="Arial" w:hAnsi="Arial"/>
          <w:color w:val="000000"/>
          <w:sz w:val="21"/>
          <w:szCs w:val="21"/>
        </w:rPr>
        <w:t>que</w:t>
      </w:r>
      <w:r>
        <w:rPr>
          <w:rFonts w:ascii="Arial" w:hAnsi="Arial"/>
          <w:color w:val="000000"/>
          <w:sz w:val="21"/>
          <w:szCs w:val="21"/>
        </w:rPr>
        <w:t xml:space="preserve"> el </w:t>
      </w:r>
      <w:proofErr w:type="spellStart"/>
      <w:r>
        <w:rPr>
          <w:rFonts w:ascii="Arial" w:hAnsi="Arial"/>
          <w:color w:val="000000"/>
          <w:sz w:val="21"/>
          <w:szCs w:val="21"/>
        </w:rPr>
        <w:t>derecho</w:t>
      </w:r>
      <w:proofErr w:type="spellEnd"/>
      <w:r>
        <w:rPr>
          <w:rFonts w:ascii="Arial" w:hAnsi="Arial"/>
          <w:color w:val="000000"/>
          <w:sz w:val="21"/>
          <w:szCs w:val="21"/>
        </w:rPr>
        <w:t xml:space="preserve"> de </w:t>
      </w:r>
      <w:proofErr w:type="spellStart"/>
      <w:r>
        <w:rPr>
          <w:rFonts w:ascii="Arial" w:hAnsi="Arial"/>
          <w:color w:val="000000"/>
          <w:sz w:val="21"/>
          <w:szCs w:val="21"/>
        </w:rPr>
        <w:t>huelga</w:t>
      </w:r>
      <w:proofErr w:type="spellEnd"/>
      <w:r>
        <w:rPr>
          <w:rFonts w:ascii="Arial" w:hAnsi="Arial"/>
          <w:color w:val="000000"/>
          <w:sz w:val="21"/>
          <w:szCs w:val="21"/>
        </w:rPr>
        <w:t xml:space="preserve"> es funcional a la </w:t>
      </w:r>
      <w:proofErr w:type="spellStart"/>
      <w:r>
        <w:rPr>
          <w:rFonts w:ascii="Arial" w:hAnsi="Arial"/>
          <w:color w:val="000000"/>
          <w:sz w:val="21"/>
          <w:szCs w:val="21"/>
        </w:rPr>
        <w:t>consecución</w:t>
      </w:r>
      <w:proofErr w:type="spellEnd"/>
      <w:r>
        <w:rPr>
          <w:rFonts w:ascii="Arial" w:hAnsi="Arial"/>
          <w:color w:val="000000"/>
          <w:sz w:val="21"/>
          <w:szCs w:val="21"/>
        </w:rPr>
        <w:t xml:space="preserve"> de la </w:t>
      </w:r>
      <w:proofErr w:type="spellStart"/>
      <w:r>
        <w:rPr>
          <w:rFonts w:ascii="Arial" w:hAnsi="Arial"/>
          <w:color w:val="000000"/>
          <w:sz w:val="21"/>
          <w:szCs w:val="21"/>
        </w:rPr>
        <w:t>igualdadad</w:t>
      </w:r>
      <w:proofErr w:type="spellEnd"/>
      <w:r>
        <w:rPr>
          <w:rFonts w:ascii="Arial" w:hAnsi="Arial"/>
          <w:color w:val="000000"/>
          <w:sz w:val="21"/>
          <w:szCs w:val="21"/>
        </w:rPr>
        <w:t xml:space="preserve"> real y efectiva a la que se </w:t>
      </w:r>
      <w:proofErr w:type="spellStart"/>
      <w:r>
        <w:rPr>
          <w:rFonts w:ascii="Arial" w:hAnsi="Arial"/>
          <w:color w:val="000000"/>
          <w:sz w:val="21"/>
          <w:szCs w:val="21"/>
        </w:rPr>
        <w:t>refiere</w:t>
      </w:r>
      <w:proofErr w:type="spellEnd"/>
      <w:r>
        <w:rPr>
          <w:rFonts w:ascii="Arial" w:hAnsi="Arial"/>
          <w:color w:val="000000"/>
          <w:sz w:val="21"/>
          <w:szCs w:val="21"/>
        </w:rPr>
        <w:t xml:space="preserve"> el art. 9.2 CE (STC 11/1981, de 8 de abril). </w:t>
      </w:r>
    </w:p>
    <w:p w:rsidR="002A25B1" w:rsidRDefault="00CF6985">
      <w:pPr>
        <w:spacing w:line="276" w:lineRule="auto"/>
        <w:jc w:val="both"/>
        <w:rPr>
          <w:rFonts w:ascii="Arial" w:hAnsi="Arial"/>
          <w:b/>
          <w:bCs/>
          <w:sz w:val="21"/>
          <w:szCs w:val="21"/>
          <w:lang w:val="es-ES"/>
        </w:rPr>
      </w:pPr>
      <w:r>
        <w:rPr>
          <w:rFonts w:ascii="Arial" w:hAnsi="Arial"/>
          <w:b/>
          <w:bCs/>
          <w:sz w:val="21"/>
          <w:szCs w:val="21"/>
          <w:lang w:val="es-ES"/>
        </w:rPr>
        <w:br/>
      </w:r>
      <w:r>
        <w:rPr>
          <w:rFonts w:ascii="Arial;Helvetica;sans-serif" w:hAnsi="Arial;Helvetica;sans-serif"/>
          <w:bCs/>
          <w:sz w:val="21"/>
          <w:szCs w:val="21"/>
          <w:lang w:val="es-ES"/>
        </w:rPr>
        <w:t>Así, la Constitución reconoce el derecho a la suspensión del contrato de trabajo y otorga en consecuenci</w:t>
      </w:r>
      <w:r>
        <w:rPr>
          <w:rFonts w:ascii="Arial;Helvetica;sans-serif" w:hAnsi="Arial;Helvetica;sans-serif"/>
          <w:bCs/>
          <w:sz w:val="21"/>
          <w:szCs w:val="21"/>
          <w:lang w:val="es-ES"/>
        </w:rPr>
        <w:t>a un cauce constitucional para las medidas de presión de los trabajadores y trabajadoras frente al empresario, como medios de defensa de sus intereses para la solución en conflictos socioeconómicos. Según el Tribunal Constitucional, las huelgas tienen la p</w:t>
      </w:r>
      <w:r>
        <w:rPr>
          <w:rFonts w:ascii="Arial;Helvetica;sans-serif" w:hAnsi="Arial;Helvetica;sans-serif"/>
          <w:bCs/>
          <w:sz w:val="21"/>
          <w:szCs w:val="21"/>
          <w:lang w:val="es-ES"/>
        </w:rPr>
        <w:t xml:space="preserve">resunción “iuris tantum” de legalidad. </w:t>
      </w:r>
    </w:p>
    <w:p w:rsidR="002A25B1" w:rsidRDefault="002A25B1">
      <w:pPr>
        <w:spacing w:line="276" w:lineRule="auto"/>
        <w:jc w:val="both"/>
        <w:rPr>
          <w:rFonts w:ascii="Arial;Helvetica;sans-serif" w:hAnsi="Arial;Helvetica;sans-serif" w:hint="eastAsia"/>
        </w:rPr>
      </w:pPr>
    </w:p>
    <w:p w:rsidR="002A25B1" w:rsidRDefault="00CF6985">
      <w:pPr>
        <w:spacing w:line="276" w:lineRule="auto"/>
        <w:jc w:val="both"/>
        <w:rPr>
          <w:rFonts w:ascii="Arial" w:hAnsi="Arial"/>
          <w:sz w:val="21"/>
          <w:szCs w:val="21"/>
          <w:lang w:val="es-ES"/>
        </w:rPr>
      </w:pPr>
      <w:r>
        <w:rPr>
          <w:rFonts w:ascii="Arial" w:hAnsi="Arial"/>
          <w:sz w:val="21"/>
          <w:szCs w:val="21"/>
          <w:lang w:val="es-ES"/>
        </w:rPr>
        <w:t>El ejercicio del derecho de huelga no extingue la relación de trabajo, ni puede dar lugar a sanción alguna ni, en consecuencia, al despido del trabajador o trabajadora. La sanción o el despido serán nulos. Es por el</w:t>
      </w:r>
      <w:r>
        <w:rPr>
          <w:rFonts w:ascii="Arial" w:hAnsi="Arial"/>
          <w:sz w:val="21"/>
          <w:szCs w:val="21"/>
          <w:lang w:val="es-ES"/>
        </w:rPr>
        <w:t>lo que la tipificación de la conducta prevista en el artículo 315.3 del Código Penal carece de toda lógica con la construcción jurídico-constitucional de este derecho.</w:t>
      </w:r>
    </w:p>
    <w:p w:rsidR="002A25B1" w:rsidRDefault="002A25B1">
      <w:pPr>
        <w:spacing w:line="276" w:lineRule="auto"/>
        <w:jc w:val="both"/>
        <w:rPr>
          <w:rFonts w:ascii="Arial;Helvetica;sans-serif" w:hAnsi="Arial;Helvetica;sans-serif" w:hint="eastAsia"/>
        </w:rPr>
      </w:pPr>
    </w:p>
    <w:p w:rsidR="002A25B1" w:rsidRDefault="00CF6985">
      <w:pPr>
        <w:spacing w:line="276" w:lineRule="auto"/>
        <w:jc w:val="both"/>
        <w:rPr>
          <w:rFonts w:hint="eastAsia"/>
        </w:rPr>
      </w:pPr>
      <w:r>
        <w:rPr>
          <w:rFonts w:ascii="Arial" w:hAnsi="Arial"/>
          <w:b/>
          <w:bCs/>
          <w:sz w:val="21"/>
          <w:szCs w:val="21"/>
          <w:lang w:val="es-ES"/>
        </w:rPr>
        <w:br/>
      </w:r>
      <w:r>
        <w:rPr>
          <w:rFonts w:ascii="Arial" w:hAnsi="Arial"/>
          <w:sz w:val="21"/>
          <w:szCs w:val="21"/>
          <w:lang w:val="es-ES"/>
        </w:rPr>
        <w:t>E</w:t>
      </w:r>
      <w:r>
        <w:rPr>
          <w:rFonts w:ascii="Arial" w:hAnsi="Arial"/>
          <w:sz w:val="21"/>
          <w:szCs w:val="21"/>
          <w:lang w:val="es-ES"/>
        </w:rPr>
        <w:t>l derecho de huelga debe complementarse con el derecho a la libertad sindical. E</w:t>
      </w:r>
      <w:r>
        <w:rPr>
          <w:rFonts w:ascii="Arial;Helvetica;sans-serif" w:hAnsi="Arial;Helvetica;sans-serif"/>
          <w:sz w:val="21"/>
          <w:szCs w:val="21"/>
          <w:lang w:val="es-ES"/>
        </w:rPr>
        <w:t xml:space="preserve">l </w:t>
      </w:r>
      <w:r>
        <w:rPr>
          <w:rFonts w:ascii="Arial;Helvetica;sans-serif" w:hAnsi="Arial;Helvetica;sans-serif"/>
          <w:sz w:val="21"/>
          <w:szCs w:val="21"/>
          <w:lang w:val="es-ES"/>
        </w:rPr>
        <w:t>artículo</w:t>
      </w:r>
      <w:r>
        <w:rPr>
          <w:rFonts w:ascii="Arial;Helvetica;sans-serif" w:hAnsi="Arial;Helvetica;sans-serif"/>
          <w:bCs/>
          <w:sz w:val="21"/>
          <w:szCs w:val="21"/>
          <w:lang w:val="es-ES"/>
        </w:rPr>
        <w:t xml:space="preserve"> 7 de Constitución </w:t>
      </w:r>
      <w:r>
        <w:rPr>
          <w:rFonts w:ascii="Arial;Helvetica;sans-serif" w:hAnsi="Arial;Helvetica;sans-serif"/>
          <w:bCs/>
          <w:sz w:val="21"/>
          <w:szCs w:val="21"/>
          <w:lang w:val="es-ES"/>
        </w:rPr>
        <w:t>otorga</w:t>
      </w:r>
      <w:r>
        <w:rPr>
          <w:rFonts w:ascii="Arial;Helvetica;sans-serif" w:hAnsi="Arial;Helvetica;sans-serif"/>
          <w:bCs/>
          <w:sz w:val="21"/>
          <w:szCs w:val="21"/>
          <w:lang w:val="es-ES"/>
        </w:rPr>
        <w:t xml:space="preserve"> a los sindicatos el carácter de organismos básicos del sistema político y les atribuye la defensa y promoción de los intereses socioeconómicos de los trabajadores, estableciendo una estrecha conexión entre la libertad sindical y el derecho de huelga. </w:t>
      </w:r>
    </w:p>
    <w:p w:rsidR="002A25B1" w:rsidRDefault="002A25B1">
      <w:pPr>
        <w:spacing w:line="276" w:lineRule="auto"/>
        <w:jc w:val="both"/>
        <w:rPr>
          <w:rFonts w:ascii="Arial;Helvetica;sans-serif" w:hAnsi="Arial;Helvetica;sans-serif" w:hint="eastAsia"/>
          <w:b/>
          <w:bCs/>
          <w:sz w:val="21"/>
          <w:szCs w:val="21"/>
          <w:lang w:val="es-ES"/>
        </w:rPr>
      </w:pPr>
    </w:p>
    <w:p w:rsidR="002A25B1" w:rsidRDefault="00CF6985">
      <w:pPr>
        <w:spacing w:line="276" w:lineRule="auto"/>
        <w:jc w:val="both"/>
        <w:rPr>
          <w:rFonts w:hint="eastAsia"/>
        </w:rPr>
      </w:pPr>
      <w:r>
        <w:rPr>
          <w:rFonts w:ascii="Arial;Helvetica;sans-serif" w:hAnsi="Arial;Helvetica;sans-serif"/>
          <w:bCs/>
          <w:sz w:val="21"/>
          <w:szCs w:val="21"/>
          <w:lang w:val="es-ES"/>
        </w:rPr>
        <w:t>El</w:t>
      </w:r>
      <w:r>
        <w:rPr>
          <w:rFonts w:ascii="Arial;Helvetica;sans-serif" w:hAnsi="Arial;Helvetica;sans-serif"/>
          <w:bCs/>
          <w:sz w:val="21"/>
          <w:szCs w:val="21"/>
          <w:lang w:val="es-ES"/>
        </w:rPr>
        <w:t xml:space="preserve"> ejercicio de la libertad de expresión e información por parte de los representantes sindicales forma parte de la propia libertad sindical y por este motivo aparece caracterizado por unos rasgos especiales (SSTC entre otras, 1/1998, de 12 de enero; 203/201</w:t>
      </w:r>
      <w:r>
        <w:rPr>
          <w:rFonts w:ascii="Arial;Helvetica;sans-serif" w:hAnsi="Arial;Helvetica;sans-serif"/>
          <w:bCs/>
          <w:sz w:val="21"/>
          <w:szCs w:val="21"/>
          <w:lang w:val="es-ES"/>
        </w:rPr>
        <w:t xml:space="preserve">5, de 5 de octubre). </w:t>
      </w:r>
    </w:p>
    <w:p w:rsidR="002A25B1" w:rsidRDefault="002A25B1">
      <w:pPr>
        <w:spacing w:line="276" w:lineRule="auto"/>
        <w:jc w:val="both"/>
        <w:rPr>
          <w:rFonts w:ascii="Arial;Helvetica;sans-serif" w:hAnsi="Arial;Helvetica;sans-serif" w:hint="eastAsia"/>
          <w:b/>
          <w:bCs/>
          <w:sz w:val="21"/>
          <w:szCs w:val="21"/>
          <w:lang w:val="es-ES"/>
        </w:rPr>
      </w:pPr>
    </w:p>
    <w:p w:rsidR="002A25B1" w:rsidRDefault="00CF6985">
      <w:pPr>
        <w:spacing w:line="276" w:lineRule="auto"/>
        <w:jc w:val="both"/>
        <w:rPr>
          <w:rFonts w:hint="eastAsia"/>
        </w:rPr>
      </w:pPr>
      <w:r>
        <w:rPr>
          <w:rFonts w:ascii="Arial" w:hAnsi="Arial"/>
          <w:sz w:val="21"/>
          <w:szCs w:val="21"/>
          <w:lang w:val="es-ES"/>
        </w:rPr>
        <w:t xml:space="preserve">Prueba de </w:t>
      </w:r>
      <w:r>
        <w:rPr>
          <w:rFonts w:ascii="Arial" w:hAnsi="Arial"/>
          <w:sz w:val="21"/>
          <w:szCs w:val="21"/>
          <w:lang w:val="es-ES"/>
        </w:rPr>
        <w:t xml:space="preserve">la importancia que para el marco constitucional tiene el derecho de huelga como medida de presión es que sin su reconocimiento, la libertad sindical quedaría prácticamente vacía de contenido </w:t>
      </w:r>
      <w:r>
        <w:rPr>
          <w:rFonts w:ascii="Arial;Helvetica;sans-serif" w:hAnsi="Arial;Helvetica;sans-serif"/>
          <w:bCs/>
          <w:sz w:val="21"/>
          <w:szCs w:val="21"/>
          <w:lang w:val="es-ES"/>
        </w:rPr>
        <w:t xml:space="preserve"> (STC 11/1981, de 8 de abril, y </w:t>
      </w:r>
      <w:r>
        <w:rPr>
          <w:rFonts w:ascii="Arial;Helvetica;sans-serif" w:hAnsi="Arial;Helvetica;sans-serif"/>
          <w:bCs/>
          <w:sz w:val="21"/>
          <w:szCs w:val="21"/>
          <w:lang w:val="es-ES"/>
        </w:rPr>
        <w:t xml:space="preserve">STC 70/1982, de 29 de noviembre). </w:t>
      </w:r>
    </w:p>
    <w:p w:rsidR="002A25B1" w:rsidRDefault="002A25B1">
      <w:pPr>
        <w:spacing w:line="276" w:lineRule="auto"/>
        <w:jc w:val="both"/>
        <w:rPr>
          <w:rFonts w:ascii="Arial;Helvetica;sans-serif" w:hAnsi="Arial;Helvetica;sans-serif" w:hint="eastAsia"/>
        </w:rPr>
      </w:pPr>
    </w:p>
    <w:p w:rsidR="002A25B1" w:rsidRDefault="00CF6985">
      <w:pPr>
        <w:spacing w:line="276" w:lineRule="auto"/>
        <w:jc w:val="both"/>
        <w:rPr>
          <w:rFonts w:hint="eastAsia"/>
        </w:rPr>
      </w:pPr>
      <w:r>
        <w:rPr>
          <w:rFonts w:ascii="Arial;Helvetica;sans-serif" w:hAnsi="Arial;Helvetica;sans-serif"/>
          <w:bCs/>
          <w:sz w:val="21"/>
          <w:szCs w:val="21"/>
          <w:lang w:val="es-ES"/>
        </w:rPr>
        <w:t xml:space="preserve">En </w:t>
      </w:r>
      <w:r>
        <w:rPr>
          <w:rFonts w:ascii="Arial;Helvetica;sans-serif" w:hAnsi="Arial;Helvetica;sans-serif"/>
          <w:bCs/>
          <w:sz w:val="21"/>
          <w:szCs w:val="21"/>
          <w:lang w:val="es-ES"/>
        </w:rPr>
        <w:t>conexión con el derecho a la libertad de expresión</w:t>
      </w:r>
      <w:r>
        <w:rPr>
          <w:rFonts w:ascii="Arial;Helvetica;sans-serif" w:hAnsi="Arial;Helvetica;sans-serif"/>
          <w:bCs/>
          <w:sz w:val="21"/>
          <w:szCs w:val="21"/>
          <w:lang w:val="es-ES"/>
        </w:rPr>
        <w:t xml:space="preserve">, se reconoce legalmente y por la jurisprudencia el derecho de los trabajadores y trabajadoras en huelga a hacer publicidad de la misma. </w:t>
      </w:r>
      <w:r>
        <w:rPr>
          <w:rFonts w:ascii="Arial" w:hAnsi="Arial"/>
          <w:sz w:val="21"/>
          <w:szCs w:val="21"/>
          <w:lang w:val="es-ES"/>
        </w:rPr>
        <w:t>Los piquetes informativos, com</w:t>
      </w:r>
      <w:r>
        <w:rPr>
          <w:rFonts w:ascii="Arial" w:hAnsi="Arial"/>
          <w:sz w:val="21"/>
          <w:szCs w:val="21"/>
          <w:lang w:val="es-ES"/>
        </w:rPr>
        <w:t xml:space="preserve">o requerimiento pacífico a seguir una huelga, forman parte del derecho fundamental a la libertad de expresión del art. 20.1 de la Constitución, por lo que su limitación puede afectar al ejercicio del mismo. </w:t>
      </w:r>
    </w:p>
    <w:p w:rsidR="002A25B1" w:rsidRDefault="002A25B1">
      <w:pPr>
        <w:spacing w:line="276" w:lineRule="auto"/>
        <w:jc w:val="both"/>
        <w:rPr>
          <w:rFonts w:ascii="Arial" w:hAnsi="Arial"/>
          <w:sz w:val="21"/>
          <w:szCs w:val="21"/>
          <w:lang w:val="es-ES"/>
        </w:rPr>
      </w:pPr>
    </w:p>
    <w:p w:rsidR="002A25B1" w:rsidRDefault="00CF6985">
      <w:pPr>
        <w:spacing w:line="276" w:lineRule="auto"/>
        <w:jc w:val="both"/>
        <w:rPr>
          <w:rFonts w:hint="eastAsia"/>
        </w:rPr>
      </w:pPr>
      <w:r>
        <w:rPr>
          <w:rFonts w:ascii="Arial;Helvetica;sans-serif" w:hAnsi="Arial;Helvetica;sans-serif"/>
          <w:sz w:val="21"/>
          <w:szCs w:val="21"/>
        </w:rPr>
        <w:t xml:space="preserve">La </w:t>
      </w:r>
      <w:proofErr w:type="spellStart"/>
      <w:r>
        <w:rPr>
          <w:rFonts w:ascii="Arial;Helvetica;sans-serif" w:hAnsi="Arial;Helvetica;sans-serif"/>
          <w:sz w:val="21"/>
          <w:szCs w:val="21"/>
        </w:rPr>
        <w:t>participación</w:t>
      </w:r>
      <w:proofErr w:type="spellEnd"/>
      <w:r>
        <w:rPr>
          <w:rFonts w:ascii="Arial;Helvetica;sans-serif" w:hAnsi="Arial;Helvetica;sans-serif"/>
          <w:sz w:val="21"/>
          <w:szCs w:val="21"/>
        </w:rPr>
        <w:t xml:space="preserve"> legítima de las </w:t>
      </w:r>
      <w:proofErr w:type="spellStart"/>
      <w:r>
        <w:rPr>
          <w:rFonts w:ascii="Arial;Helvetica;sans-serif" w:hAnsi="Arial;Helvetica;sans-serif"/>
          <w:sz w:val="21"/>
          <w:szCs w:val="21"/>
        </w:rPr>
        <w:t>personas</w:t>
      </w:r>
      <w:proofErr w:type="spellEnd"/>
      <w:r>
        <w:rPr>
          <w:rFonts w:ascii="Arial;Helvetica;sans-serif" w:hAnsi="Arial;Helvetica;sans-serif"/>
          <w:sz w:val="21"/>
          <w:szCs w:val="21"/>
        </w:rPr>
        <w:t xml:space="preserve"> </w:t>
      </w:r>
      <w:proofErr w:type="spellStart"/>
      <w:r>
        <w:rPr>
          <w:rFonts w:ascii="Arial;Helvetica;sans-serif" w:hAnsi="Arial;Helvetica;sans-serif"/>
          <w:sz w:val="21"/>
          <w:szCs w:val="21"/>
        </w:rPr>
        <w:t>traba</w:t>
      </w:r>
      <w:r>
        <w:rPr>
          <w:rFonts w:ascii="Arial;Helvetica;sans-serif" w:hAnsi="Arial;Helvetica;sans-serif"/>
          <w:sz w:val="21"/>
          <w:szCs w:val="21"/>
        </w:rPr>
        <w:t>jadoras</w:t>
      </w:r>
      <w:proofErr w:type="spellEnd"/>
      <w:r>
        <w:rPr>
          <w:rFonts w:ascii="Arial;Helvetica;sans-serif" w:hAnsi="Arial;Helvetica;sans-serif"/>
          <w:sz w:val="21"/>
          <w:szCs w:val="21"/>
        </w:rPr>
        <w:t xml:space="preserve"> en </w:t>
      </w:r>
      <w:proofErr w:type="spellStart"/>
      <w:r>
        <w:rPr>
          <w:rFonts w:ascii="Arial;Helvetica;sans-serif" w:hAnsi="Arial;Helvetica;sans-serif"/>
          <w:sz w:val="21"/>
          <w:szCs w:val="21"/>
        </w:rPr>
        <w:t>conflictos</w:t>
      </w:r>
      <w:proofErr w:type="spellEnd"/>
      <w:r>
        <w:rPr>
          <w:rFonts w:ascii="Arial;Helvetica;sans-serif" w:hAnsi="Arial;Helvetica;sans-serif"/>
          <w:sz w:val="21"/>
          <w:szCs w:val="21"/>
        </w:rPr>
        <w:t xml:space="preserve"> </w:t>
      </w:r>
      <w:proofErr w:type="spellStart"/>
      <w:r>
        <w:rPr>
          <w:rFonts w:ascii="Arial;Helvetica;sans-serif" w:hAnsi="Arial;Helvetica;sans-serif"/>
          <w:sz w:val="21"/>
          <w:szCs w:val="21"/>
        </w:rPr>
        <w:t>colectivos</w:t>
      </w:r>
      <w:proofErr w:type="spellEnd"/>
      <w:r>
        <w:rPr>
          <w:rFonts w:ascii="Arial;Helvetica;sans-serif" w:hAnsi="Arial;Helvetica;sans-serif"/>
          <w:sz w:val="21"/>
          <w:szCs w:val="21"/>
        </w:rPr>
        <w:t xml:space="preserve"> </w:t>
      </w:r>
      <w:proofErr w:type="spellStart"/>
      <w:r>
        <w:rPr>
          <w:rFonts w:ascii="Arial;Helvetica;sans-serif" w:hAnsi="Arial;Helvetica;sans-serif"/>
          <w:sz w:val="21"/>
          <w:szCs w:val="21"/>
        </w:rPr>
        <w:t>convocados</w:t>
      </w:r>
      <w:proofErr w:type="spellEnd"/>
      <w:r>
        <w:rPr>
          <w:rFonts w:ascii="Arial;Helvetica;sans-serif" w:hAnsi="Arial;Helvetica;sans-serif"/>
          <w:sz w:val="21"/>
          <w:szCs w:val="21"/>
        </w:rPr>
        <w:t xml:space="preserve"> por </w:t>
      </w:r>
      <w:proofErr w:type="spellStart"/>
      <w:r>
        <w:rPr>
          <w:rFonts w:ascii="Arial;Helvetica;sans-serif" w:hAnsi="Arial;Helvetica;sans-serif"/>
          <w:sz w:val="21"/>
          <w:szCs w:val="21"/>
        </w:rPr>
        <w:t>sindicatos</w:t>
      </w:r>
      <w:proofErr w:type="spellEnd"/>
      <w:r>
        <w:rPr>
          <w:rFonts w:ascii="Arial;Helvetica;sans-serif" w:hAnsi="Arial;Helvetica;sans-serif"/>
          <w:sz w:val="21"/>
          <w:szCs w:val="21"/>
        </w:rPr>
        <w:t xml:space="preserve"> no solo </w:t>
      </w:r>
      <w:r>
        <w:rPr>
          <w:rFonts w:ascii="Arial;Helvetica;sans-serif" w:hAnsi="Arial;Helvetica;sans-serif"/>
          <w:sz w:val="21"/>
          <w:szCs w:val="21"/>
        </w:rPr>
        <w:t>es</w:t>
      </w:r>
      <w:r>
        <w:rPr>
          <w:rFonts w:ascii="Arial;Helvetica;sans-serif" w:hAnsi="Arial;Helvetica;sans-serif"/>
          <w:sz w:val="21"/>
          <w:szCs w:val="21"/>
        </w:rPr>
        <w:t xml:space="preserve"> un </w:t>
      </w:r>
      <w:proofErr w:type="spellStart"/>
      <w:r>
        <w:rPr>
          <w:rFonts w:ascii="Arial;Helvetica;sans-serif" w:hAnsi="Arial;Helvetica;sans-serif"/>
          <w:sz w:val="21"/>
          <w:szCs w:val="21"/>
        </w:rPr>
        <w:t>elemento</w:t>
      </w:r>
      <w:proofErr w:type="spellEnd"/>
      <w:r>
        <w:rPr>
          <w:rFonts w:ascii="Arial;Helvetica;sans-serif" w:hAnsi="Arial;Helvetica;sans-serif"/>
          <w:sz w:val="21"/>
          <w:szCs w:val="21"/>
        </w:rPr>
        <w:t xml:space="preserve"> </w:t>
      </w:r>
      <w:proofErr w:type="spellStart"/>
      <w:r>
        <w:rPr>
          <w:rFonts w:ascii="Arial;Helvetica;sans-serif" w:hAnsi="Arial;Helvetica;sans-serif"/>
          <w:sz w:val="21"/>
          <w:szCs w:val="21"/>
        </w:rPr>
        <w:t>imprescidible</w:t>
      </w:r>
      <w:proofErr w:type="spellEnd"/>
      <w:r>
        <w:rPr>
          <w:rFonts w:ascii="Arial;Helvetica;sans-serif" w:hAnsi="Arial;Helvetica;sans-serif"/>
          <w:sz w:val="21"/>
          <w:szCs w:val="21"/>
        </w:rPr>
        <w:t xml:space="preserve"> para la </w:t>
      </w:r>
      <w:proofErr w:type="spellStart"/>
      <w:r>
        <w:rPr>
          <w:rFonts w:ascii="Arial;Helvetica;sans-serif" w:hAnsi="Arial;Helvetica;sans-serif"/>
          <w:sz w:val="21"/>
          <w:szCs w:val="21"/>
        </w:rPr>
        <w:t>mejora</w:t>
      </w:r>
      <w:proofErr w:type="spellEnd"/>
      <w:r>
        <w:rPr>
          <w:rFonts w:ascii="Arial;Helvetica;sans-serif" w:hAnsi="Arial;Helvetica;sans-serif"/>
          <w:sz w:val="21"/>
          <w:szCs w:val="21"/>
        </w:rPr>
        <w:t xml:space="preserve"> de las condiciones </w:t>
      </w:r>
      <w:proofErr w:type="spellStart"/>
      <w:r>
        <w:rPr>
          <w:rFonts w:ascii="Arial;Helvetica;sans-serif" w:hAnsi="Arial;Helvetica;sans-serif"/>
          <w:sz w:val="21"/>
          <w:szCs w:val="21"/>
        </w:rPr>
        <w:t>laborales</w:t>
      </w:r>
      <w:proofErr w:type="spellEnd"/>
      <w:r>
        <w:rPr>
          <w:rFonts w:ascii="Arial;Helvetica;sans-serif" w:hAnsi="Arial;Helvetica;sans-serif"/>
          <w:sz w:val="21"/>
          <w:szCs w:val="21"/>
        </w:rPr>
        <w:t xml:space="preserve">, </w:t>
      </w:r>
      <w:proofErr w:type="spellStart"/>
      <w:r>
        <w:rPr>
          <w:rFonts w:ascii="Arial;Helvetica;sans-serif" w:hAnsi="Arial;Helvetica;sans-serif"/>
          <w:sz w:val="21"/>
          <w:szCs w:val="21"/>
        </w:rPr>
        <w:t>sino</w:t>
      </w:r>
      <w:proofErr w:type="spellEnd"/>
      <w:r>
        <w:rPr>
          <w:rFonts w:ascii="Arial;Helvetica;sans-serif" w:hAnsi="Arial;Helvetica;sans-serif"/>
          <w:sz w:val="21"/>
          <w:szCs w:val="21"/>
        </w:rPr>
        <w:t xml:space="preserve"> que </w:t>
      </w:r>
      <w:proofErr w:type="spellStart"/>
      <w:r>
        <w:rPr>
          <w:rFonts w:ascii="Arial;Helvetica;sans-serif" w:hAnsi="Arial;Helvetica;sans-serif"/>
          <w:sz w:val="21"/>
          <w:szCs w:val="21"/>
        </w:rPr>
        <w:t>interpelan</w:t>
      </w:r>
      <w:proofErr w:type="spellEnd"/>
      <w:r>
        <w:rPr>
          <w:rFonts w:ascii="Arial;Helvetica;sans-serif" w:hAnsi="Arial;Helvetica;sans-serif"/>
          <w:sz w:val="21"/>
          <w:szCs w:val="21"/>
        </w:rPr>
        <w:t xml:space="preserve"> </w:t>
      </w:r>
      <w:proofErr w:type="spellStart"/>
      <w:r>
        <w:rPr>
          <w:rFonts w:ascii="Arial;Helvetica;sans-serif" w:hAnsi="Arial;Helvetica;sans-serif"/>
          <w:sz w:val="21"/>
          <w:szCs w:val="21"/>
        </w:rPr>
        <w:t>públicamente</w:t>
      </w:r>
      <w:proofErr w:type="spellEnd"/>
      <w:r>
        <w:rPr>
          <w:rFonts w:ascii="Arial;Helvetica;sans-serif" w:hAnsi="Arial;Helvetica;sans-serif"/>
          <w:sz w:val="21"/>
          <w:szCs w:val="21"/>
        </w:rPr>
        <w:t xml:space="preserve"> a los </w:t>
      </w:r>
      <w:proofErr w:type="spellStart"/>
      <w:r>
        <w:rPr>
          <w:rFonts w:ascii="Arial;Helvetica;sans-serif" w:hAnsi="Arial;Helvetica;sans-serif"/>
          <w:sz w:val="21"/>
          <w:szCs w:val="21"/>
        </w:rPr>
        <w:t>poderes</w:t>
      </w:r>
      <w:proofErr w:type="spellEnd"/>
      <w:r>
        <w:rPr>
          <w:rFonts w:ascii="Arial;Helvetica;sans-serif" w:hAnsi="Arial;Helvetica;sans-serif"/>
          <w:sz w:val="21"/>
          <w:szCs w:val="21"/>
        </w:rPr>
        <w:t xml:space="preserve"> </w:t>
      </w:r>
      <w:proofErr w:type="spellStart"/>
      <w:r>
        <w:rPr>
          <w:rFonts w:ascii="Arial;Helvetica;sans-serif" w:hAnsi="Arial;Helvetica;sans-serif"/>
          <w:sz w:val="21"/>
          <w:szCs w:val="21"/>
        </w:rPr>
        <w:t>público</w:t>
      </w:r>
      <w:r>
        <w:rPr>
          <w:rFonts w:ascii="Arial" w:hAnsi="Arial"/>
          <w:sz w:val="21"/>
          <w:szCs w:val="21"/>
        </w:rPr>
        <w:t>s</w:t>
      </w:r>
      <w:proofErr w:type="spellEnd"/>
      <w:r>
        <w:rPr>
          <w:rFonts w:ascii="Arial" w:hAnsi="Arial"/>
          <w:sz w:val="21"/>
          <w:szCs w:val="21"/>
        </w:rPr>
        <w:t xml:space="preserve"> como </w:t>
      </w:r>
      <w:proofErr w:type="spellStart"/>
      <w:r>
        <w:rPr>
          <w:rFonts w:ascii="Arial" w:hAnsi="Arial"/>
          <w:sz w:val="21"/>
          <w:szCs w:val="21"/>
        </w:rPr>
        <w:t>máximos</w:t>
      </w:r>
      <w:proofErr w:type="spellEnd"/>
      <w:r>
        <w:rPr>
          <w:rFonts w:ascii="Arial" w:hAnsi="Arial"/>
          <w:sz w:val="21"/>
          <w:szCs w:val="21"/>
        </w:rPr>
        <w:t xml:space="preserve"> </w:t>
      </w:r>
      <w:proofErr w:type="spellStart"/>
      <w:r>
        <w:rPr>
          <w:rFonts w:ascii="Arial" w:hAnsi="Arial"/>
          <w:sz w:val="21"/>
          <w:szCs w:val="21"/>
        </w:rPr>
        <w:t>garantes</w:t>
      </w:r>
      <w:proofErr w:type="spellEnd"/>
      <w:r>
        <w:rPr>
          <w:rFonts w:ascii="Arial" w:hAnsi="Arial"/>
          <w:sz w:val="21"/>
          <w:szCs w:val="21"/>
        </w:rPr>
        <w:t xml:space="preserve"> del </w:t>
      </w:r>
      <w:proofErr w:type="spellStart"/>
      <w:r>
        <w:rPr>
          <w:rFonts w:ascii="Arial" w:hAnsi="Arial"/>
          <w:sz w:val="21"/>
          <w:szCs w:val="21"/>
        </w:rPr>
        <w:t>estado</w:t>
      </w:r>
      <w:proofErr w:type="spellEnd"/>
      <w:r>
        <w:rPr>
          <w:rFonts w:ascii="Arial" w:hAnsi="Arial"/>
          <w:sz w:val="21"/>
          <w:szCs w:val="21"/>
        </w:rPr>
        <w:t xml:space="preserve"> social. </w:t>
      </w:r>
      <w:r>
        <w:rPr>
          <w:rFonts w:ascii="Arial" w:hAnsi="Arial"/>
          <w:color w:val="000000"/>
          <w:sz w:val="21"/>
          <w:szCs w:val="21"/>
        </w:rPr>
        <w:t xml:space="preserve">Como </w:t>
      </w:r>
      <w:proofErr w:type="spellStart"/>
      <w:r>
        <w:rPr>
          <w:rFonts w:ascii="Arial" w:hAnsi="Arial"/>
          <w:color w:val="000000"/>
          <w:sz w:val="21"/>
          <w:szCs w:val="21"/>
        </w:rPr>
        <w:t>sintetii</w:t>
      </w:r>
      <w:r>
        <w:rPr>
          <w:rFonts w:ascii="Arial" w:hAnsi="Arial"/>
          <w:color w:val="000000"/>
          <w:sz w:val="21"/>
          <w:szCs w:val="21"/>
        </w:rPr>
        <w:t>za</w:t>
      </w:r>
      <w:proofErr w:type="spellEnd"/>
      <w:r>
        <w:rPr>
          <w:rFonts w:ascii="Arial" w:hAnsi="Arial"/>
          <w:color w:val="000000"/>
          <w:sz w:val="21"/>
          <w:szCs w:val="21"/>
        </w:rPr>
        <w:t xml:space="preserve"> la</w:t>
      </w:r>
      <w:r>
        <w:rPr>
          <w:rFonts w:ascii="Arial" w:hAnsi="Arial"/>
          <w:color w:val="000000"/>
          <w:sz w:val="21"/>
          <w:szCs w:val="21"/>
        </w:rPr>
        <w:t xml:space="preserve"> STC 259/2007, «la </w:t>
      </w:r>
      <w:proofErr w:type="spellStart"/>
      <w:r>
        <w:rPr>
          <w:rFonts w:ascii="Arial" w:hAnsi="Arial"/>
          <w:color w:val="000000"/>
          <w:sz w:val="21"/>
          <w:szCs w:val="21"/>
        </w:rPr>
        <w:t>huelga</w:t>
      </w:r>
      <w:proofErr w:type="spellEnd"/>
      <w:r>
        <w:rPr>
          <w:rFonts w:ascii="Arial" w:hAnsi="Arial"/>
          <w:color w:val="000000"/>
          <w:sz w:val="21"/>
          <w:szCs w:val="21"/>
        </w:rPr>
        <w:t xml:space="preserve"> </w:t>
      </w:r>
      <w:proofErr w:type="spellStart"/>
      <w:r>
        <w:rPr>
          <w:rFonts w:ascii="Arial" w:hAnsi="Arial"/>
          <w:color w:val="000000"/>
          <w:sz w:val="21"/>
          <w:szCs w:val="21"/>
        </w:rPr>
        <w:t>puede</w:t>
      </w:r>
      <w:proofErr w:type="spellEnd"/>
      <w:r>
        <w:rPr>
          <w:rFonts w:ascii="Arial" w:hAnsi="Arial"/>
          <w:color w:val="000000"/>
          <w:sz w:val="21"/>
          <w:szCs w:val="21"/>
        </w:rPr>
        <w:t xml:space="preserve"> </w:t>
      </w:r>
      <w:proofErr w:type="spellStart"/>
      <w:r>
        <w:rPr>
          <w:rFonts w:ascii="Arial" w:hAnsi="Arial"/>
          <w:color w:val="000000"/>
          <w:sz w:val="21"/>
          <w:szCs w:val="21"/>
        </w:rPr>
        <w:t>tener</w:t>
      </w:r>
      <w:proofErr w:type="spellEnd"/>
      <w:r>
        <w:rPr>
          <w:rFonts w:ascii="Arial" w:hAnsi="Arial"/>
          <w:color w:val="000000"/>
          <w:sz w:val="21"/>
          <w:szCs w:val="21"/>
        </w:rPr>
        <w:t xml:space="preserve"> por </w:t>
      </w:r>
      <w:proofErr w:type="spellStart"/>
      <w:r>
        <w:rPr>
          <w:rFonts w:ascii="Arial" w:hAnsi="Arial"/>
          <w:color w:val="000000"/>
          <w:sz w:val="21"/>
          <w:szCs w:val="21"/>
        </w:rPr>
        <w:t>objeto</w:t>
      </w:r>
      <w:proofErr w:type="spellEnd"/>
      <w:r>
        <w:rPr>
          <w:rFonts w:ascii="Arial" w:hAnsi="Arial"/>
          <w:color w:val="000000"/>
          <w:sz w:val="21"/>
          <w:szCs w:val="21"/>
        </w:rPr>
        <w:t xml:space="preserve"> reivindicar </w:t>
      </w:r>
      <w:proofErr w:type="spellStart"/>
      <w:r>
        <w:rPr>
          <w:rFonts w:ascii="Arial" w:hAnsi="Arial"/>
          <w:color w:val="000000"/>
          <w:sz w:val="21"/>
          <w:szCs w:val="21"/>
        </w:rPr>
        <w:t>mejoras</w:t>
      </w:r>
      <w:proofErr w:type="spellEnd"/>
      <w:r>
        <w:rPr>
          <w:rFonts w:ascii="Arial" w:hAnsi="Arial"/>
          <w:color w:val="000000"/>
          <w:sz w:val="21"/>
          <w:szCs w:val="21"/>
        </w:rPr>
        <w:t xml:space="preserve"> en las condiciones </w:t>
      </w:r>
      <w:proofErr w:type="spellStart"/>
      <w:r>
        <w:rPr>
          <w:rFonts w:ascii="Arial" w:hAnsi="Arial"/>
          <w:color w:val="000000"/>
          <w:sz w:val="21"/>
          <w:szCs w:val="21"/>
        </w:rPr>
        <w:t>económicas</w:t>
      </w:r>
      <w:proofErr w:type="spellEnd"/>
      <w:r>
        <w:rPr>
          <w:rFonts w:ascii="Arial" w:hAnsi="Arial"/>
          <w:color w:val="000000"/>
          <w:sz w:val="21"/>
          <w:szCs w:val="21"/>
        </w:rPr>
        <w:t xml:space="preserve">, o, en general, en las condiciones de </w:t>
      </w:r>
      <w:proofErr w:type="spellStart"/>
      <w:r>
        <w:rPr>
          <w:rFonts w:ascii="Arial" w:hAnsi="Arial"/>
          <w:color w:val="000000"/>
          <w:sz w:val="21"/>
          <w:szCs w:val="21"/>
        </w:rPr>
        <w:t>trabajo</w:t>
      </w:r>
      <w:proofErr w:type="spellEnd"/>
      <w:r>
        <w:rPr>
          <w:rFonts w:ascii="Arial" w:hAnsi="Arial"/>
          <w:color w:val="000000"/>
          <w:sz w:val="21"/>
          <w:szCs w:val="21"/>
        </w:rPr>
        <w:t xml:space="preserve">, y </w:t>
      </w:r>
      <w:proofErr w:type="spellStart"/>
      <w:r>
        <w:rPr>
          <w:rFonts w:ascii="Arial" w:hAnsi="Arial"/>
          <w:color w:val="000000"/>
          <w:sz w:val="21"/>
          <w:szCs w:val="21"/>
        </w:rPr>
        <w:t>puede</w:t>
      </w:r>
      <w:proofErr w:type="spellEnd"/>
      <w:r>
        <w:rPr>
          <w:rFonts w:ascii="Arial" w:hAnsi="Arial"/>
          <w:color w:val="000000"/>
          <w:sz w:val="21"/>
          <w:szCs w:val="21"/>
        </w:rPr>
        <w:t xml:space="preserve"> </w:t>
      </w:r>
      <w:proofErr w:type="spellStart"/>
      <w:r>
        <w:rPr>
          <w:rFonts w:ascii="Arial" w:hAnsi="Arial"/>
          <w:color w:val="000000"/>
          <w:sz w:val="21"/>
          <w:szCs w:val="21"/>
        </w:rPr>
        <w:t>suponer</w:t>
      </w:r>
      <w:proofErr w:type="spellEnd"/>
      <w:r>
        <w:rPr>
          <w:rFonts w:ascii="Arial" w:hAnsi="Arial"/>
          <w:color w:val="000000"/>
          <w:sz w:val="21"/>
          <w:szCs w:val="21"/>
        </w:rPr>
        <w:t xml:space="preserve"> </w:t>
      </w:r>
      <w:proofErr w:type="spellStart"/>
      <w:r>
        <w:rPr>
          <w:rFonts w:ascii="Arial" w:hAnsi="Arial"/>
          <w:color w:val="000000"/>
          <w:sz w:val="21"/>
          <w:szCs w:val="21"/>
        </w:rPr>
        <w:t>también</w:t>
      </w:r>
      <w:proofErr w:type="spellEnd"/>
      <w:r>
        <w:rPr>
          <w:rFonts w:ascii="Arial" w:hAnsi="Arial"/>
          <w:color w:val="000000"/>
          <w:sz w:val="21"/>
          <w:szCs w:val="21"/>
        </w:rPr>
        <w:t xml:space="preserve"> una protesta con </w:t>
      </w:r>
      <w:proofErr w:type="spellStart"/>
      <w:r>
        <w:rPr>
          <w:rFonts w:ascii="Arial" w:hAnsi="Arial"/>
          <w:color w:val="000000"/>
          <w:sz w:val="21"/>
          <w:szCs w:val="21"/>
        </w:rPr>
        <w:t>repercusión</w:t>
      </w:r>
      <w:proofErr w:type="spellEnd"/>
      <w:r>
        <w:rPr>
          <w:rFonts w:ascii="Arial" w:hAnsi="Arial"/>
          <w:color w:val="000000"/>
          <w:sz w:val="21"/>
          <w:szCs w:val="21"/>
        </w:rPr>
        <w:t xml:space="preserve"> en </w:t>
      </w:r>
      <w:proofErr w:type="spellStart"/>
      <w:r>
        <w:rPr>
          <w:rFonts w:ascii="Arial" w:hAnsi="Arial"/>
          <w:color w:val="000000"/>
          <w:sz w:val="21"/>
          <w:szCs w:val="21"/>
        </w:rPr>
        <w:t>otras</w:t>
      </w:r>
      <w:proofErr w:type="spellEnd"/>
      <w:r>
        <w:rPr>
          <w:rFonts w:ascii="Arial" w:hAnsi="Arial"/>
          <w:color w:val="000000"/>
          <w:sz w:val="21"/>
          <w:szCs w:val="21"/>
        </w:rPr>
        <w:t xml:space="preserve"> </w:t>
      </w:r>
      <w:proofErr w:type="spellStart"/>
      <w:r>
        <w:rPr>
          <w:rFonts w:ascii="Arial" w:hAnsi="Arial"/>
          <w:color w:val="000000"/>
          <w:sz w:val="21"/>
          <w:szCs w:val="21"/>
        </w:rPr>
        <w:t>esferas</w:t>
      </w:r>
      <w:proofErr w:type="spellEnd"/>
      <w:r>
        <w:rPr>
          <w:rFonts w:ascii="Arial" w:hAnsi="Arial"/>
          <w:color w:val="000000"/>
          <w:sz w:val="21"/>
          <w:szCs w:val="21"/>
        </w:rPr>
        <w:t xml:space="preserve"> o </w:t>
      </w:r>
      <w:proofErr w:type="spellStart"/>
      <w:r>
        <w:rPr>
          <w:rFonts w:ascii="Arial" w:hAnsi="Arial"/>
          <w:color w:val="000000"/>
          <w:sz w:val="21"/>
          <w:szCs w:val="21"/>
        </w:rPr>
        <w:t>ámbitos</w:t>
      </w:r>
      <w:proofErr w:type="spellEnd"/>
      <w:r>
        <w:rPr>
          <w:rFonts w:ascii="Arial" w:hAnsi="Arial"/>
          <w:color w:val="000000"/>
          <w:sz w:val="21"/>
          <w:szCs w:val="21"/>
        </w:rPr>
        <w:t>»</w:t>
      </w:r>
    </w:p>
    <w:p w:rsidR="002A25B1" w:rsidRDefault="002A25B1">
      <w:pPr>
        <w:spacing w:line="276" w:lineRule="auto"/>
        <w:jc w:val="both"/>
        <w:rPr>
          <w:rFonts w:ascii="Arial;Helvetica;sans-serif" w:hAnsi="Arial;Helvetica;sans-serif" w:hint="eastAsia"/>
          <w:sz w:val="21"/>
          <w:szCs w:val="21"/>
        </w:rPr>
      </w:pPr>
    </w:p>
    <w:p w:rsidR="002A25B1" w:rsidRDefault="00CF6985">
      <w:pPr>
        <w:spacing w:line="276" w:lineRule="auto"/>
        <w:jc w:val="both"/>
        <w:rPr>
          <w:rFonts w:hint="eastAsia"/>
        </w:rPr>
      </w:pPr>
      <w:r>
        <w:rPr>
          <w:rFonts w:ascii="Arial;Helvetica;sans-serif" w:hAnsi="Arial;Helvetica;sans-serif"/>
          <w:sz w:val="21"/>
          <w:szCs w:val="21"/>
          <w:lang w:val="es-ES"/>
        </w:rPr>
        <w:t>A través de las huelgas se h</w:t>
      </w:r>
      <w:r>
        <w:rPr>
          <w:rFonts w:ascii="Arial;Helvetica;sans-serif" w:hAnsi="Arial;Helvetica;sans-serif"/>
          <w:sz w:val="21"/>
          <w:szCs w:val="21"/>
          <w:lang w:val="es-ES"/>
        </w:rPr>
        <w:t xml:space="preserve">an conseguido </w:t>
      </w:r>
      <w:proofErr w:type="spellStart"/>
      <w:r>
        <w:rPr>
          <w:rFonts w:ascii="Arial;Helvetica;sans-serif" w:hAnsi="Arial;Helvetica;sans-serif"/>
          <w:sz w:val="21"/>
          <w:szCs w:val="21"/>
        </w:rPr>
        <w:t>derechos</w:t>
      </w:r>
      <w:proofErr w:type="spellEnd"/>
      <w:r>
        <w:rPr>
          <w:rFonts w:ascii="Arial;Helvetica;sans-serif" w:hAnsi="Arial;Helvetica;sans-serif"/>
          <w:sz w:val="21"/>
          <w:szCs w:val="21"/>
        </w:rPr>
        <w:t xml:space="preserve"> </w:t>
      </w:r>
      <w:proofErr w:type="spellStart"/>
      <w:r>
        <w:rPr>
          <w:rFonts w:ascii="Arial;Helvetica;sans-serif" w:hAnsi="Arial;Helvetica;sans-serif"/>
          <w:sz w:val="21"/>
          <w:szCs w:val="21"/>
        </w:rPr>
        <w:t>laborales</w:t>
      </w:r>
      <w:proofErr w:type="spellEnd"/>
      <w:r>
        <w:rPr>
          <w:rFonts w:ascii="Arial;Helvetica;sans-serif" w:hAnsi="Arial;Helvetica;sans-serif"/>
          <w:sz w:val="21"/>
          <w:szCs w:val="21"/>
        </w:rPr>
        <w:t xml:space="preserve"> que </w:t>
      </w:r>
      <w:proofErr w:type="spellStart"/>
      <w:r>
        <w:rPr>
          <w:rFonts w:ascii="Arial;Helvetica;sans-serif" w:hAnsi="Arial;Helvetica;sans-serif"/>
          <w:sz w:val="21"/>
          <w:szCs w:val="21"/>
        </w:rPr>
        <w:t>hoy</w:t>
      </w:r>
      <w:proofErr w:type="spellEnd"/>
      <w:r>
        <w:rPr>
          <w:rFonts w:ascii="Arial;Helvetica;sans-serif" w:hAnsi="Arial;Helvetica;sans-serif"/>
          <w:sz w:val="21"/>
          <w:szCs w:val="21"/>
        </w:rPr>
        <w:t xml:space="preserve"> en </w:t>
      </w:r>
      <w:proofErr w:type="spellStart"/>
      <w:r>
        <w:rPr>
          <w:rFonts w:ascii="Arial;Helvetica;sans-serif" w:hAnsi="Arial;Helvetica;sans-serif"/>
          <w:sz w:val="21"/>
          <w:szCs w:val="21"/>
        </w:rPr>
        <w:t>día</w:t>
      </w:r>
      <w:proofErr w:type="spellEnd"/>
      <w:r>
        <w:rPr>
          <w:rFonts w:ascii="Arial;Helvetica;sans-serif" w:hAnsi="Arial;Helvetica;sans-serif"/>
          <w:sz w:val="21"/>
          <w:szCs w:val="21"/>
        </w:rPr>
        <w:t xml:space="preserve"> </w:t>
      </w:r>
      <w:proofErr w:type="spellStart"/>
      <w:r>
        <w:rPr>
          <w:rFonts w:ascii="Arial;Helvetica;sans-serif" w:hAnsi="Arial;Helvetica;sans-serif"/>
          <w:sz w:val="21"/>
          <w:szCs w:val="21"/>
        </w:rPr>
        <w:t>forman</w:t>
      </w:r>
      <w:proofErr w:type="spellEnd"/>
      <w:r>
        <w:rPr>
          <w:rFonts w:ascii="Arial;Helvetica;sans-serif" w:hAnsi="Arial;Helvetica;sans-serif"/>
          <w:sz w:val="21"/>
          <w:szCs w:val="21"/>
        </w:rPr>
        <w:t xml:space="preserve"> </w:t>
      </w:r>
      <w:proofErr w:type="spellStart"/>
      <w:r>
        <w:rPr>
          <w:rFonts w:ascii="Arial;Helvetica;sans-serif" w:hAnsi="Arial;Helvetica;sans-serif"/>
          <w:sz w:val="21"/>
          <w:szCs w:val="21"/>
        </w:rPr>
        <w:t>parte</w:t>
      </w:r>
      <w:proofErr w:type="spellEnd"/>
      <w:r>
        <w:rPr>
          <w:rFonts w:ascii="Arial;Helvetica;sans-serif" w:hAnsi="Arial;Helvetica;sans-serif"/>
          <w:sz w:val="21"/>
          <w:szCs w:val="21"/>
        </w:rPr>
        <w:t xml:space="preserve"> de los </w:t>
      </w:r>
      <w:proofErr w:type="spellStart"/>
      <w:r>
        <w:rPr>
          <w:rFonts w:ascii="Arial;Helvetica;sans-serif" w:hAnsi="Arial;Helvetica;sans-serif"/>
          <w:sz w:val="21"/>
          <w:szCs w:val="21"/>
        </w:rPr>
        <w:t>derechos</w:t>
      </w:r>
      <w:proofErr w:type="spellEnd"/>
      <w:r>
        <w:rPr>
          <w:rFonts w:ascii="Arial;Helvetica;sans-serif" w:hAnsi="Arial;Helvetica;sans-serif"/>
          <w:sz w:val="21"/>
          <w:szCs w:val="21"/>
        </w:rPr>
        <w:t xml:space="preserve"> </w:t>
      </w:r>
      <w:proofErr w:type="spellStart"/>
      <w:r>
        <w:rPr>
          <w:rFonts w:ascii="Arial;Helvetica;sans-serif" w:hAnsi="Arial;Helvetica;sans-serif"/>
          <w:sz w:val="21"/>
          <w:szCs w:val="21"/>
        </w:rPr>
        <w:t>más</w:t>
      </w:r>
      <w:proofErr w:type="spellEnd"/>
      <w:r>
        <w:rPr>
          <w:rFonts w:ascii="Arial;Helvetica;sans-serif" w:hAnsi="Arial;Helvetica;sans-serif"/>
          <w:sz w:val="21"/>
          <w:szCs w:val="21"/>
        </w:rPr>
        <w:t xml:space="preserve"> </w:t>
      </w:r>
      <w:proofErr w:type="spellStart"/>
      <w:r>
        <w:rPr>
          <w:rFonts w:ascii="Arial;Helvetica;sans-serif" w:hAnsi="Arial;Helvetica;sans-serif"/>
          <w:sz w:val="21"/>
          <w:szCs w:val="21"/>
        </w:rPr>
        <w:t>básicos</w:t>
      </w:r>
      <w:proofErr w:type="spellEnd"/>
      <w:r>
        <w:rPr>
          <w:rFonts w:ascii="Arial;Helvetica;sans-serif" w:hAnsi="Arial;Helvetica;sans-serif"/>
          <w:sz w:val="21"/>
          <w:szCs w:val="21"/>
        </w:rPr>
        <w:t xml:space="preserve"> de las </w:t>
      </w:r>
      <w:proofErr w:type="spellStart"/>
      <w:r>
        <w:rPr>
          <w:rFonts w:ascii="Arial;Helvetica;sans-serif" w:hAnsi="Arial;Helvetica;sans-serif"/>
          <w:sz w:val="21"/>
          <w:szCs w:val="21"/>
        </w:rPr>
        <w:t>personas</w:t>
      </w:r>
      <w:proofErr w:type="spellEnd"/>
      <w:r>
        <w:rPr>
          <w:rFonts w:ascii="Arial;Helvetica;sans-serif" w:hAnsi="Arial;Helvetica;sans-serif"/>
          <w:sz w:val="21"/>
          <w:szCs w:val="21"/>
        </w:rPr>
        <w:t xml:space="preserve"> </w:t>
      </w:r>
      <w:proofErr w:type="spellStart"/>
      <w:r>
        <w:rPr>
          <w:rFonts w:ascii="Arial;Helvetica;sans-serif" w:hAnsi="Arial;Helvetica;sans-serif"/>
          <w:sz w:val="21"/>
          <w:szCs w:val="21"/>
        </w:rPr>
        <w:t>trabajadoras</w:t>
      </w:r>
      <w:proofErr w:type="spellEnd"/>
      <w:r>
        <w:rPr>
          <w:rFonts w:ascii="Arial;Helvetica;sans-serif" w:hAnsi="Arial;Helvetica;sans-serif"/>
          <w:sz w:val="21"/>
          <w:szCs w:val="21"/>
        </w:rPr>
        <w:t xml:space="preserve"> y son un </w:t>
      </w:r>
      <w:proofErr w:type="spellStart"/>
      <w:r>
        <w:rPr>
          <w:rFonts w:ascii="Arial;Helvetica;sans-serif" w:hAnsi="Arial;Helvetica;sans-serif"/>
          <w:sz w:val="21"/>
          <w:szCs w:val="21"/>
        </w:rPr>
        <w:t>elemento</w:t>
      </w:r>
      <w:proofErr w:type="spellEnd"/>
      <w:r>
        <w:rPr>
          <w:rFonts w:ascii="Arial;Helvetica;sans-serif" w:hAnsi="Arial;Helvetica;sans-serif"/>
          <w:sz w:val="21"/>
          <w:szCs w:val="21"/>
        </w:rPr>
        <w:t xml:space="preserve"> imprescindible para seguir </w:t>
      </w:r>
      <w:proofErr w:type="spellStart"/>
      <w:r>
        <w:rPr>
          <w:rFonts w:ascii="Arial;Helvetica;sans-serif" w:hAnsi="Arial;Helvetica;sans-serif"/>
          <w:sz w:val="21"/>
          <w:szCs w:val="21"/>
        </w:rPr>
        <w:t>avanzando</w:t>
      </w:r>
      <w:proofErr w:type="spellEnd"/>
      <w:r>
        <w:rPr>
          <w:rFonts w:ascii="Arial;Helvetica;sans-serif" w:hAnsi="Arial;Helvetica;sans-serif"/>
          <w:sz w:val="21"/>
          <w:szCs w:val="21"/>
        </w:rPr>
        <w:t xml:space="preserve"> en la </w:t>
      </w:r>
      <w:proofErr w:type="spellStart"/>
      <w:r>
        <w:rPr>
          <w:rFonts w:ascii="Arial;Helvetica;sans-serif" w:hAnsi="Arial;Helvetica;sans-serif"/>
          <w:sz w:val="21"/>
          <w:szCs w:val="21"/>
        </w:rPr>
        <w:t>consecución</w:t>
      </w:r>
      <w:proofErr w:type="spellEnd"/>
      <w:r>
        <w:rPr>
          <w:rFonts w:ascii="Arial;Helvetica;sans-serif" w:hAnsi="Arial;Helvetica;sans-serif"/>
          <w:sz w:val="21"/>
          <w:szCs w:val="21"/>
        </w:rPr>
        <w:t xml:space="preserve"> de del </w:t>
      </w:r>
      <w:proofErr w:type="spellStart"/>
      <w:r>
        <w:rPr>
          <w:rFonts w:ascii="Arial;Helvetica;sans-serif" w:hAnsi="Arial;Helvetica;sans-serif"/>
          <w:sz w:val="21"/>
          <w:szCs w:val="21"/>
        </w:rPr>
        <w:t>bienestar</w:t>
      </w:r>
      <w:proofErr w:type="spellEnd"/>
      <w:r>
        <w:rPr>
          <w:rFonts w:ascii="Arial;Helvetica;sans-serif" w:hAnsi="Arial;Helvetica;sans-serif"/>
          <w:sz w:val="21"/>
          <w:szCs w:val="21"/>
        </w:rPr>
        <w:t xml:space="preserve"> social y la </w:t>
      </w:r>
      <w:proofErr w:type="spellStart"/>
      <w:r>
        <w:rPr>
          <w:rFonts w:ascii="Arial;Helvetica;sans-serif" w:hAnsi="Arial;Helvetica;sans-serif"/>
          <w:sz w:val="21"/>
          <w:szCs w:val="21"/>
        </w:rPr>
        <w:t>igualdad</w:t>
      </w:r>
      <w:proofErr w:type="spellEnd"/>
      <w:r>
        <w:rPr>
          <w:rFonts w:ascii="Arial;Helvetica;sans-serif" w:hAnsi="Arial;Helvetica;sans-serif"/>
          <w:sz w:val="21"/>
          <w:szCs w:val="21"/>
        </w:rPr>
        <w:t xml:space="preserve"> real. La figura de los </w:t>
      </w:r>
      <w:proofErr w:type="spellStart"/>
      <w:r>
        <w:rPr>
          <w:rFonts w:ascii="Arial;Helvetica;sans-serif" w:hAnsi="Arial;Helvetica;sans-serif"/>
          <w:sz w:val="21"/>
          <w:szCs w:val="21"/>
        </w:rPr>
        <w:t>sind</w:t>
      </w:r>
      <w:r>
        <w:rPr>
          <w:rFonts w:ascii="Arial;Helvetica;sans-serif" w:hAnsi="Arial;Helvetica;sans-serif"/>
          <w:sz w:val="21"/>
          <w:szCs w:val="21"/>
        </w:rPr>
        <w:t>icatos</w:t>
      </w:r>
      <w:proofErr w:type="spellEnd"/>
      <w:r>
        <w:rPr>
          <w:rFonts w:ascii="Arial;Helvetica;sans-serif" w:hAnsi="Arial;Helvetica;sans-serif"/>
          <w:sz w:val="21"/>
          <w:szCs w:val="21"/>
        </w:rPr>
        <w:t xml:space="preserve"> es un </w:t>
      </w:r>
      <w:proofErr w:type="spellStart"/>
      <w:r>
        <w:rPr>
          <w:rFonts w:ascii="Arial;Helvetica;sans-serif" w:hAnsi="Arial;Helvetica;sans-serif"/>
          <w:sz w:val="21"/>
          <w:szCs w:val="21"/>
        </w:rPr>
        <w:t>elemento</w:t>
      </w:r>
      <w:proofErr w:type="spellEnd"/>
      <w:r>
        <w:rPr>
          <w:rFonts w:ascii="Arial;Helvetica;sans-serif" w:hAnsi="Arial;Helvetica;sans-serif"/>
          <w:sz w:val="21"/>
          <w:szCs w:val="21"/>
        </w:rPr>
        <w:t xml:space="preserve"> </w:t>
      </w:r>
      <w:proofErr w:type="spellStart"/>
      <w:r>
        <w:rPr>
          <w:rFonts w:ascii="Arial;Helvetica;sans-serif" w:hAnsi="Arial;Helvetica;sans-serif"/>
          <w:sz w:val="21"/>
          <w:szCs w:val="21"/>
        </w:rPr>
        <w:t>clave</w:t>
      </w:r>
      <w:proofErr w:type="spellEnd"/>
      <w:r>
        <w:rPr>
          <w:rFonts w:ascii="Arial;Helvetica;sans-serif" w:hAnsi="Arial;Helvetica;sans-serif"/>
          <w:sz w:val="21"/>
          <w:szCs w:val="21"/>
        </w:rPr>
        <w:t xml:space="preserve"> en esta </w:t>
      </w:r>
      <w:proofErr w:type="spellStart"/>
      <w:r>
        <w:rPr>
          <w:rFonts w:ascii="Arial;Helvetica;sans-serif" w:hAnsi="Arial;Helvetica;sans-serif"/>
          <w:sz w:val="21"/>
          <w:szCs w:val="21"/>
        </w:rPr>
        <w:t>cuestión</w:t>
      </w:r>
      <w:proofErr w:type="spellEnd"/>
      <w:r>
        <w:rPr>
          <w:rFonts w:ascii="Arial;Helvetica;sans-serif" w:hAnsi="Arial;Helvetica;sans-serif"/>
          <w:sz w:val="21"/>
          <w:szCs w:val="21"/>
        </w:rPr>
        <w:t xml:space="preserve">. </w:t>
      </w:r>
    </w:p>
    <w:p w:rsidR="002A25B1" w:rsidRDefault="002A25B1">
      <w:pPr>
        <w:spacing w:line="276" w:lineRule="auto"/>
        <w:jc w:val="both"/>
        <w:rPr>
          <w:rFonts w:ascii="Arial" w:hAnsi="Arial"/>
          <w:sz w:val="21"/>
          <w:szCs w:val="21"/>
          <w:lang w:val="es-ES"/>
        </w:rPr>
      </w:pPr>
    </w:p>
    <w:p w:rsidR="002A25B1" w:rsidRDefault="00CF6985">
      <w:pPr>
        <w:spacing w:line="276" w:lineRule="auto"/>
        <w:jc w:val="both"/>
        <w:rPr>
          <w:rFonts w:hint="eastAsia"/>
        </w:rPr>
      </w:pPr>
      <w:r>
        <w:rPr>
          <w:rFonts w:ascii="Arial" w:hAnsi="Arial"/>
          <w:sz w:val="21"/>
          <w:szCs w:val="21"/>
          <w:lang w:val="es-ES"/>
        </w:rPr>
        <w:t>Por todo ello, la prohibición y sanción de las actividades de información y difusión por parte de los trabajadores y trabajadoras afecta al núcleo esencial del derecho de huelga. En concreto, el apartado 3 de</w:t>
      </w:r>
      <w:r>
        <w:rPr>
          <w:rFonts w:ascii="Arial" w:hAnsi="Arial"/>
          <w:sz w:val="21"/>
          <w:szCs w:val="21"/>
          <w:lang w:val="es-ES"/>
        </w:rPr>
        <w:t>l artículo 315 del Código Penal supone una criminalización de los piquetes informativos de huelga contraria a las garantías fundamentales de nuestro sistema constitucional.</w:t>
      </w:r>
    </w:p>
    <w:p w:rsidR="002A25B1" w:rsidRDefault="002A25B1">
      <w:pPr>
        <w:spacing w:line="276" w:lineRule="auto"/>
        <w:jc w:val="both"/>
        <w:rPr>
          <w:rFonts w:ascii="Arial" w:hAnsi="Arial"/>
          <w:b/>
          <w:bCs/>
          <w:sz w:val="21"/>
          <w:szCs w:val="21"/>
          <w:lang w:val="es-ES"/>
        </w:rPr>
      </w:pPr>
    </w:p>
    <w:p w:rsidR="002A25B1" w:rsidRDefault="00CF6985">
      <w:pPr>
        <w:spacing w:line="276" w:lineRule="auto"/>
        <w:jc w:val="both"/>
        <w:rPr>
          <w:rFonts w:hint="eastAsia"/>
        </w:rPr>
      </w:pPr>
      <w:r>
        <w:rPr>
          <w:rFonts w:ascii="Arial" w:hAnsi="Arial"/>
          <w:sz w:val="21"/>
          <w:szCs w:val="21"/>
          <w:lang w:val="es-ES"/>
        </w:rPr>
        <w:t>El derecho de los y las huelguistas a difundir y recabar más adhesión en el ejercicio del derecho de huelga y por lo tanto, ampliar su efectividad, no puede verse limitado por una norma penal. Los orígenes de esta criminalización no son otros que la repres</w:t>
      </w:r>
      <w:r>
        <w:rPr>
          <w:rFonts w:ascii="Arial" w:hAnsi="Arial"/>
          <w:sz w:val="21"/>
          <w:szCs w:val="21"/>
          <w:lang w:val="es-ES"/>
        </w:rPr>
        <w:t xml:space="preserve">ión de los trabajadores y trabajadores en la </w:t>
      </w:r>
      <w:proofErr w:type="spellStart"/>
      <w:r>
        <w:rPr>
          <w:rFonts w:ascii="Arial" w:hAnsi="Arial"/>
          <w:sz w:val="21"/>
          <w:szCs w:val="21"/>
          <w:lang w:val="es-ES"/>
        </w:rPr>
        <w:t>autorganización</w:t>
      </w:r>
      <w:proofErr w:type="spellEnd"/>
      <w:r>
        <w:rPr>
          <w:rFonts w:ascii="Arial" w:hAnsi="Arial"/>
          <w:sz w:val="21"/>
          <w:szCs w:val="21"/>
          <w:lang w:val="es-ES"/>
        </w:rPr>
        <w:t xml:space="preserve"> y la defensa de sus derechos laborales y en concreto, en la organización y extensión de la huelga. </w:t>
      </w:r>
    </w:p>
    <w:p w:rsidR="002A25B1" w:rsidRDefault="002A25B1">
      <w:pPr>
        <w:spacing w:line="276" w:lineRule="auto"/>
        <w:jc w:val="both"/>
        <w:rPr>
          <w:rFonts w:ascii="Arial" w:hAnsi="Arial"/>
          <w:sz w:val="21"/>
          <w:szCs w:val="21"/>
          <w:lang w:val="es-ES"/>
        </w:rPr>
      </w:pPr>
    </w:p>
    <w:p w:rsidR="002A25B1" w:rsidRDefault="00CF6985">
      <w:pPr>
        <w:spacing w:line="276" w:lineRule="auto"/>
        <w:jc w:val="both"/>
        <w:rPr>
          <w:rFonts w:hint="eastAsia"/>
        </w:rPr>
      </w:pPr>
      <w:r>
        <w:rPr>
          <w:rFonts w:ascii="Arial" w:hAnsi="Arial"/>
          <w:sz w:val="21"/>
          <w:szCs w:val="21"/>
          <w:lang w:val="es-ES"/>
        </w:rPr>
        <w:t>La tipicidad de las conductas descritas en el art. 315.3 del Código Penal es innecesaria, debi</w:t>
      </w:r>
      <w:r>
        <w:rPr>
          <w:rFonts w:ascii="Arial" w:hAnsi="Arial"/>
          <w:sz w:val="21"/>
          <w:szCs w:val="21"/>
          <w:lang w:val="es-ES"/>
        </w:rPr>
        <w:t>do a que el propio Código Penal ya contempla el delito de coacciones, siendo el tipo penal específico y con carácter agravado para el caso de coacciones en el ejercicio del derecho de huelga, innecesario y contrario al ejercicio de los derechos fundamental</w:t>
      </w:r>
      <w:r>
        <w:rPr>
          <w:rFonts w:ascii="Arial" w:hAnsi="Arial"/>
          <w:sz w:val="21"/>
          <w:szCs w:val="21"/>
          <w:lang w:val="es-ES"/>
        </w:rPr>
        <w:t>es a la huelga y a la libertad sindical.</w:t>
      </w:r>
    </w:p>
    <w:p w:rsidR="002A25B1" w:rsidRDefault="00CF6985">
      <w:pPr>
        <w:spacing w:line="276" w:lineRule="auto"/>
        <w:jc w:val="both"/>
        <w:rPr>
          <w:rFonts w:hint="eastAsia"/>
        </w:rPr>
      </w:pPr>
      <w:r>
        <w:rPr>
          <w:rFonts w:ascii="Arial" w:hAnsi="Arial"/>
          <w:b/>
          <w:bCs/>
          <w:sz w:val="21"/>
          <w:szCs w:val="21"/>
          <w:lang w:val="es-ES"/>
        </w:rPr>
        <w:br/>
      </w:r>
      <w:r>
        <w:rPr>
          <w:rFonts w:ascii="Arial" w:hAnsi="Arial"/>
          <w:b/>
          <w:bCs/>
          <w:sz w:val="21"/>
          <w:szCs w:val="21"/>
          <w:lang w:val="es-ES"/>
        </w:rPr>
        <w:br/>
      </w:r>
      <w:r>
        <w:rPr>
          <w:rFonts w:ascii="Arial" w:hAnsi="Arial"/>
          <w:sz w:val="21"/>
          <w:szCs w:val="21"/>
          <w:lang w:val="es-ES"/>
        </w:rPr>
        <w:t xml:space="preserve">Lo cierto es que contrariamente a lo que parece inducir la tipificación penal de estas conductas, la práctica jurisdiccional indica que en muchas ocasiones, es el empleador quien impide u obstaculiza el ejercicio </w:t>
      </w:r>
      <w:r>
        <w:rPr>
          <w:rFonts w:ascii="Arial" w:hAnsi="Arial"/>
          <w:sz w:val="21"/>
          <w:szCs w:val="21"/>
          <w:lang w:val="es-ES"/>
        </w:rPr>
        <w:t>del derecho de huelga, y no los y las trabajadores y trabajadoras organizadas a través de los piquetes informativos. Por este motivo, este último caso no</w:t>
      </w:r>
      <w:r>
        <w:rPr>
          <w:rFonts w:ascii="Arial" w:hAnsi="Arial"/>
          <w:sz w:val="21"/>
          <w:szCs w:val="21"/>
          <w:lang w:val="es-ES"/>
        </w:rPr>
        <w:t xml:space="preserve"> debería tener una relevancia penal específica, al margen de los delitos comunes ya contemplados por el</w:t>
      </w:r>
      <w:r>
        <w:rPr>
          <w:rFonts w:ascii="Arial" w:hAnsi="Arial"/>
          <w:sz w:val="21"/>
          <w:szCs w:val="21"/>
          <w:lang w:val="es-ES"/>
        </w:rPr>
        <w:t xml:space="preserve"> Código Penal. </w:t>
      </w:r>
    </w:p>
    <w:p w:rsidR="002A25B1" w:rsidRDefault="00CF6985">
      <w:pPr>
        <w:spacing w:line="276" w:lineRule="auto"/>
        <w:jc w:val="both"/>
        <w:rPr>
          <w:rFonts w:hint="eastAsia"/>
        </w:rPr>
      </w:pPr>
      <w:r>
        <w:rPr>
          <w:rFonts w:ascii="Arial" w:hAnsi="Arial"/>
          <w:sz w:val="21"/>
          <w:szCs w:val="21"/>
          <w:lang w:val="es-ES"/>
        </w:rPr>
        <w:br/>
      </w:r>
    </w:p>
    <w:p w:rsidR="002A25B1" w:rsidRDefault="00CF6985">
      <w:pPr>
        <w:spacing w:line="276" w:lineRule="auto"/>
        <w:jc w:val="both"/>
        <w:rPr>
          <w:rFonts w:hint="eastAsia"/>
        </w:rPr>
      </w:pPr>
      <w:r>
        <w:rPr>
          <w:rFonts w:ascii="Arial;Helvetica;sans-serif" w:hAnsi="Arial;Helvetica;sans-serif"/>
          <w:bCs/>
          <w:sz w:val="21"/>
          <w:szCs w:val="21"/>
          <w:lang w:val="es-ES"/>
        </w:rPr>
        <w:t xml:space="preserve">La penalización de estas conductas ha conllevado que se tramitaran procedimientos penales y se imputara a sindicalistas conductas por las que la Fiscalía pedía elevadas penas de prisión.  Algunas personas trabajadoras que participaban en </w:t>
      </w:r>
      <w:r>
        <w:rPr>
          <w:rFonts w:ascii="Arial;Helvetica;sans-serif" w:hAnsi="Arial;Helvetica;sans-serif"/>
          <w:bCs/>
          <w:sz w:val="21"/>
          <w:szCs w:val="21"/>
          <w:lang w:val="es-ES"/>
        </w:rPr>
        <w:t>piquetes informativos han sido ya condenadas como autoras de un delito, con lo que ello implica de cara a la criminalización individual y colectiva de la actividad sindical y el efecto disuasorio que conlleva de cara a la actividad sindical y la organizaci</w:t>
      </w:r>
      <w:r>
        <w:rPr>
          <w:rFonts w:ascii="Arial;Helvetica;sans-serif" w:hAnsi="Arial;Helvetica;sans-serif"/>
          <w:bCs/>
          <w:sz w:val="21"/>
          <w:szCs w:val="21"/>
          <w:lang w:val="es-ES"/>
        </w:rPr>
        <w:t xml:space="preserve">ón de jornadas de huelga. </w:t>
      </w:r>
    </w:p>
    <w:p w:rsidR="002A25B1" w:rsidRDefault="00CF6985">
      <w:pPr>
        <w:spacing w:line="276" w:lineRule="auto"/>
        <w:jc w:val="both"/>
        <w:rPr>
          <w:rFonts w:hint="eastAsia"/>
        </w:rPr>
      </w:pPr>
      <w:r>
        <w:rPr>
          <w:rFonts w:ascii="Arial" w:hAnsi="Arial"/>
          <w:b/>
          <w:bCs/>
          <w:sz w:val="21"/>
          <w:szCs w:val="21"/>
          <w:lang w:val="es-ES"/>
        </w:rPr>
        <w:br/>
      </w:r>
      <w:r>
        <w:rPr>
          <w:rFonts w:ascii="Arial;Helvetica;sans-serif" w:hAnsi="Arial;Helvetica;sans-serif"/>
          <w:bCs/>
          <w:sz w:val="21"/>
          <w:szCs w:val="21"/>
          <w:lang w:val="es-ES"/>
        </w:rPr>
        <w:t xml:space="preserve">En definitiva, la imputación de personas trabajadoras por el ejercicio de su actividad sindical comporta una intromisión ilegítima de los poderes públicos y una restricción del derecho de huelga que afecta a la </w:t>
      </w:r>
      <w:proofErr w:type="spellStart"/>
      <w:r>
        <w:rPr>
          <w:rFonts w:ascii="Arial;Helvetica;sans-serif" w:hAnsi="Arial;Helvetica;sans-serif"/>
          <w:bCs/>
          <w:sz w:val="21"/>
          <w:szCs w:val="21"/>
          <w:lang w:val="es-ES"/>
        </w:rPr>
        <w:t>recognoscibilidad</w:t>
      </w:r>
      <w:proofErr w:type="spellEnd"/>
      <w:r>
        <w:rPr>
          <w:rFonts w:ascii="Arial;Helvetica;sans-serif" w:hAnsi="Arial;Helvetica;sans-serif"/>
          <w:bCs/>
          <w:sz w:val="21"/>
          <w:szCs w:val="21"/>
          <w:lang w:val="es-ES"/>
        </w:rPr>
        <w:t xml:space="preserve"> del derecho fundamental. </w:t>
      </w:r>
      <w:r>
        <w:rPr>
          <w:rFonts w:ascii="Arial;Helvetica;sans-serif" w:hAnsi="Arial;Helvetica;sans-serif"/>
          <w:bCs/>
          <w:sz w:val="21"/>
          <w:szCs w:val="21"/>
          <w:lang w:val="es-ES"/>
        </w:rPr>
        <w:t>Cuando lo cierto es que l</w:t>
      </w:r>
      <w:r>
        <w:rPr>
          <w:rFonts w:ascii="Arial;Helvetica;sans-serif" w:hAnsi="Arial;Helvetica;sans-serif"/>
          <w:bCs/>
          <w:sz w:val="21"/>
          <w:szCs w:val="21"/>
          <w:lang w:val="es-ES"/>
        </w:rPr>
        <w:t xml:space="preserve">os poderes públicos tienen el mandato de promover las condiciones para que la libertad y la igualdad de los individuos y grupos sociales sean reales y efectivas (artículo 9.2 CE). </w:t>
      </w:r>
      <w:r>
        <w:rPr>
          <w:rFonts w:ascii="Arial" w:hAnsi="Arial"/>
          <w:b/>
          <w:bCs/>
          <w:sz w:val="21"/>
          <w:szCs w:val="21"/>
          <w:lang w:val="es-ES"/>
        </w:rPr>
        <w:br/>
      </w:r>
      <w:r>
        <w:rPr>
          <w:rFonts w:ascii="Arial" w:hAnsi="Arial"/>
          <w:b/>
          <w:bCs/>
          <w:sz w:val="21"/>
          <w:szCs w:val="21"/>
          <w:lang w:val="es-ES"/>
        </w:rPr>
        <w:lastRenderedPageBreak/>
        <w:br/>
      </w:r>
      <w:r>
        <w:rPr>
          <w:rFonts w:ascii="Arial;Helvetica;sans-serif" w:hAnsi="Arial;Helvetica;sans-serif"/>
          <w:bCs/>
          <w:sz w:val="21"/>
          <w:szCs w:val="21"/>
          <w:lang w:val="es-ES"/>
        </w:rPr>
        <w:t>El efecto desaliento en</w:t>
      </w:r>
      <w:r>
        <w:rPr>
          <w:rFonts w:ascii="Arial;Helvetica;sans-serif" w:hAnsi="Arial;Helvetica;sans-serif"/>
          <w:bCs/>
          <w:sz w:val="21"/>
          <w:szCs w:val="21"/>
          <w:lang w:val="es-ES"/>
        </w:rPr>
        <w:t xml:space="preserve"> el ejercicio de la libertad de expresión lo encontramos </w:t>
      </w:r>
      <w:r>
        <w:rPr>
          <w:rFonts w:ascii="Arial;Helvetica;sans-serif" w:hAnsi="Arial;Helvetica;sans-serif"/>
          <w:bCs/>
          <w:sz w:val="21"/>
          <w:szCs w:val="21"/>
          <w:lang w:val="es-ES"/>
        </w:rPr>
        <w:t>en este caso</w:t>
      </w:r>
      <w:r>
        <w:rPr>
          <w:rFonts w:ascii="Arial;Helvetica;sans-serif" w:hAnsi="Arial;Helvetica;sans-serif"/>
          <w:bCs/>
          <w:sz w:val="21"/>
          <w:szCs w:val="21"/>
          <w:lang w:val="es-ES"/>
        </w:rPr>
        <w:t xml:space="preserve"> relacionado con el ejercicio del derecho fundamental a la huelga.</w:t>
      </w:r>
    </w:p>
    <w:p w:rsidR="002A25B1" w:rsidRDefault="002A25B1">
      <w:pPr>
        <w:spacing w:line="276" w:lineRule="auto"/>
        <w:jc w:val="both"/>
        <w:rPr>
          <w:rFonts w:ascii="Arial;Helvetica;sans-serif" w:hAnsi="Arial;Helvetica;sans-serif" w:hint="eastAsia"/>
          <w:b/>
          <w:bCs/>
          <w:sz w:val="21"/>
          <w:szCs w:val="21"/>
          <w:lang w:val="es-ES"/>
        </w:rPr>
      </w:pPr>
    </w:p>
    <w:p w:rsidR="002A25B1" w:rsidRDefault="00CF6985">
      <w:pPr>
        <w:spacing w:after="225" w:line="276" w:lineRule="auto"/>
        <w:jc w:val="both"/>
        <w:rPr>
          <w:rFonts w:hint="eastAsia"/>
        </w:rPr>
      </w:pPr>
      <w:r>
        <w:rPr>
          <w:rFonts w:ascii="Arial;Helvetica;sans-serif" w:hAnsi="Arial;Helvetica;sans-serif"/>
          <w:bCs/>
          <w:sz w:val="21"/>
          <w:szCs w:val="21"/>
          <w:lang w:val="es-ES"/>
        </w:rPr>
        <w:t xml:space="preserve"> </w:t>
      </w:r>
      <w:r>
        <w:rPr>
          <w:rFonts w:ascii="Arial" w:hAnsi="Arial"/>
          <w:b/>
          <w:bCs/>
          <w:sz w:val="21"/>
          <w:szCs w:val="21"/>
          <w:lang w:val="es-ES"/>
        </w:rPr>
        <w:br/>
      </w:r>
      <w:r>
        <w:rPr>
          <w:rFonts w:ascii="Arial;Helvetica;sans-serif" w:hAnsi="Arial;Helvetica;sans-serif"/>
          <w:bCs/>
          <w:sz w:val="21"/>
          <w:szCs w:val="21"/>
          <w:lang w:val="es-ES"/>
        </w:rPr>
        <w:t xml:space="preserve">Por todo lo expuesto, es necesario que </w:t>
      </w:r>
      <w:r>
        <w:rPr>
          <w:rFonts w:ascii="Arial;Helvetica;sans-serif" w:hAnsi="Arial;Helvetica;sans-serif"/>
          <w:bCs/>
          <w:sz w:val="21"/>
          <w:szCs w:val="21"/>
          <w:lang w:val="es-ES"/>
        </w:rPr>
        <w:t>en la</w:t>
      </w:r>
      <w:r>
        <w:rPr>
          <w:rFonts w:ascii="Arial;Helvetica;sans-serif" w:hAnsi="Arial;Helvetica;sans-serif"/>
          <w:bCs/>
          <w:sz w:val="21"/>
          <w:szCs w:val="21"/>
          <w:lang w:val="es-ES"/>
        </w:rPr>
        <w:t xml:space="preserve"> reforma del Código Penal se incluya también la derogación de este precepto legal y que la vía penal no sea un cauce para la criminalización del ejercicio de derechos fundamentales.</w:t>
      </w:r>
    </w:p>
    <w:p w:rsidR="002A25B1" w:rsidRDefault="002A25B1">
      <w:pPr>
        <w:spacing w:line="276" w:lineRule="auto"/>
        <w:jc w:val="both"/>
        <w:rPr>
          <w:rFonts w:ascii="Arial;Helvetica;sans-serif" w:hAnsi="Arial;Helvetica;sans-serif" w:hint="eastAsia"/>
          <w:sz w:val="21"/>
          <w:szCs w:val="21"/>
        </w:rPr>
      </w:pPr>
      <w:bookmarkStart w:id="2" w:name="__DdeLink__1817_30919358751"/>
      <w:bookmarkEnd w:id="2"/>
    </w:p>
    <w:p w:rsidR="002A25B1" w:rsidRDefault="002A25B1">
      <w:pPr>
        <w:spacing w:line="276" w:lineRule="auto"/>
        <w:jc w:val="both"/>
        <w:rPr>
          <w:rFonts w:ascii="Arial" w:hAnsi="Arial"/>
          <w:b/>
          <w:bCs/>
          <w:sz w:val="21"/>
          <w:szCs w:val="21"/>
          <w:lang w:val="es-ES"/>
        </w:rPr>
      </w:pPr>
    </w:p>
    <w:p w:rsidR="002A25B1" w:rsidRDefault="002A25B1">
      <w:pPr>
        <w:spacing w:line="276" w:lineRule="auto"/>
        <w:jc w:val="both"/>
        <w:rPr>
          <w:rFonts w:ascii="Arial" w:hAnsi="Arial"/>
          <w:b/>
          <w:bCs/>
          <w:sz w:val="21"/>
          <w:szCs w:val="21"/>
          <w:lang w:val="es-ES"/>
        </w:rPr>
      </w:pPr>
    </w:p>
    <w:p w:rsidR="002A25B1" w:rsidRDefault="002A25B1">
      <w:pPr>
        <w:spacing w:line="276" w:lineRule="auto"/>
        <w:jc w:val="both"/>
        <w:rPr>
          <w:rFonts w:ascii="Arial" w:hAnsi="Arial"/>
          <w:sz w:val="21"/>
          <w:szCs w:val="21"/>
          <w:lang w:val="es-ES"/>
        </w:rPr>
      </w:pPr>
    </w:p>
    <w:p w:rsidR="002A25B1" w:rsidRDefault="00CF6985">
      <w:pPr>
        <w:spacing w:line="276" w:lineRule="auto"/>
        <w:jc w:val="center"/>
        <w:rPr>
          <w:rFonts w:hint="eastAsia"/>
        </w:rPr>
      </w:pPr>
      <w:r>
        <w:rPr>
          <w:rFonts w:ascii="Arial" w:hAnsi="Arial"/>
          <w:b/>
          <w:bCs/>
          <w:sz w:val="21"/>
          <w:szCs w:val="21"/>
          <w:lang w:val="es-ES"/>
        </w:rPr>
        <w:t>IV</w:t>
      </w:r>
    </w:p>
    <w:p w:rsidR="002A25B1" w:rsidRDefault="002A25B1">
      <w:pPr>
        <w:spacing w:line="276" w:lineRule="auto"/>
        <w:jc w:val="both"/>
        <w:rPr>
          <w:rFonts w:ascii="Arial" w:hAnsi="Arial"/>
          <w:b/>
          <w:bCs/>
          <w:sz w:val="21"/>
          <w:szCs w:val="21"/>
          <w:lang w:val="es-ES"/>
        </w:rPr>
      </w:pPr>
    </w:p>
    <w:p w:rsidR="002A25B1" w:rsidRDefault="002A25B1">
      <w:pPr>
        <w:spacing w:line="276" w:lineRule="auto"/>
        <w:jc w:val="both"/>
        <w:rPr>
          <w:rFonts w:ascii="Arial" w:hAnsi="Arial"/>
          <w:sz w:val="21"/>
          <w:szCs w:val="21"/>
          <w:lang w:val="es-ES"/>
        </w:rPr>
      </w:pPr>
    </w:p>
    <w:p w:rsidR="002A25B1" w:rsidRDefault="00CF6985">
      <w:pPr>
        <w:spacing w:line="276" w:lineRule="auto"/>
        <w:jc w:val="both"/>
        <w:rPr>
          <w:rFonts w:ascii="Arial" w:hAnsi="Arial"/>
          <w:sz w:val="21"/>
          <w:szCs w:val="21"/>
        </w:rPr>
      </w:pPr>
      <w:r>
        <w:rPr>
          <w:rFonts w:ascii="Arial" w:hAnsi="Arial"/>
          <w:sz w:val="21"/>
          <w:szCs w:val="21"/>
          <w:lang w:val="es-ES"/>
        </w:rPr>
        <w:t xml:space="preserve">Mediante esta ley, se reforma el Código Penal para definir con </w:t>
      </w:r>
      <w:r>
        <w:rPr>
          <w:rFonts w:ascii="Arial" w:hAnsi="Arial"/>
          <w:sz w:val="21"/>
          <w:szCs w:val="21"/>
          <w:lang w:val="es-ES"/>
        </w:rPr>
        <w:t>mayor claridad, de conformidad con el principio de legalidad y los estándares internacionales de protección de los derechos humanos, los elementos del tipo de sedición, con el fin de evitar interpretaciones que supongan una restricción del ejercicio de los</w:t>
      </w:r>
      <w:r>
        <w:rPr>
          <w:rFonts w:ascii="Arial" w:hAnsi="Arial"/>
          <w:sz w:val="21"/>
          <w:szCs w:val="21"/>
          <w:lang w:val="es-ES"/>
        </w:rPr>
        <w:t xml:space="preserve"> derechos a la libertad de expresión y de reunión.</w:t>
      </w:r>
    </w:p>
    <w:p w:rsidR="002A25B1" w:rsidRDefault="002A25B1">
      <w:pPr>
        <w:spacing w:line="276" w:lineRule="auto"/>
        <w:jc w:val="both"/>
        <w:rPr>
          <w:rFonts w:ascii="Arial" w:hAnsi="Arial"/>
          <w:sz w:val="21"/>
          <w:szCs w:val="21"/>
          <w:lang w:val="es-ES"/>
        </w:rPr>
      </w:pPr>
    </w:p>
    <w:p w:rsidR="002A25B1" w:rsidRDefault="00CF6985">
      <w:pPr>
        <w:spacing w:line="276" w:lineRule="auto"/>
        <w:jc w:val="both"/>
        <w:rPr>
          <w:rFonts w:ascii="Arial" w:hAnsi="Arial"/>
          <w:sz w:val="21"/>
          <w:szCs w:val="21"/>
        </w:rPr>
      </w:pPr>
      <w:r>
        <w:rPr>
          <w:rFonts w:ascii="Arial" w:hAnsi="Arial"/>
          <w:sz w:val="21"/>
          <w:szCs w:val="21"/>
          <w:lang w:val="es-ES"/>
        </w:rPr>
        <w:t xml:space="preserve">Se establece una definición del delito de sedición más precisa y concreta, eliminando toda tacha de vaguedad o indefinición. </w:t>
      </w:r>
    </w:p>
    <w:p w:rsidR="002A25B1" w:rsidRDefault="002A25B1">
      <w:pPr>
        <w:spacing w:line="276" w:lineRule="auto"/>
        <w:jc w:val="both"/>
        <w:rPr>
          <w:rFonts w:ascii="Arial" w:hAnsi="Arial"/>
          <w:sz w:val="21"/>
          <w:szCs w:val="21"/>
          <w:lang w:val="es-ES"/>
        </w:rPr>
      </w:pPr>
    </w:p>
    <w:p w:rsidR="002A25B1" w:rsidRDefault="00CF6985">
      <w:pPr>
        <w:spacing w:line="276" w:lineRule="auto"/>
        <w:jc w:val="both"/>
        <w:rPr>
          <w:rFonts w:hint="eastAsia"/>
        </w:rPr>
      </w:pPr>
      <w:r>
        <w:rPr>
          <w:rFonts w:ascii="Arial" w:hAnsi="Arial"/>
          <w:sz w:val="21"/>
          <w:szCs w:val="21"/>
          <w:lang w:val="es-ES"/>
        </w:rPr>
        <w:t>Con esta finalidad, se suprime la referencia al delito de rebelión, ya que el</w:t>
      </w:r>
      <w:r>
        <w:rPr>
          <w:rFonts w:ascii="Arial" w:hAnsi="Arial"/>
          <w:sz w:val="21"/>
          <w:szCs w:val="21"/>
          <w:lang w:val="es-ES"/>
        </w:rPr>
        <w:t xml:space="preserve"> bien jurídico protegido es distinto y objeto de otro capítulo del Código Penal.</w:t>
      </w:r>
    </w:p>
    <w:p w:rsidR="002A25B1" w:rsidRDefault="002A25B1">
      <w:pPr>
        <w:spacing w:line="276" w:lineRule="auto"/>
        <w:jc w:val="both"/>
        <w:rPr>
          <w:rFonts w:hint="eastAsia"/>
          <w:lang w:val="es-ES"/>
        </w:rPr>
      </w:pPr>
    </w:p>
    <w:p w:rsidR="002A25B1" w:rsidRDefault="00CF6985">
      <w:pPr>
        <w:spacing w:line="276" w:lineRule="auto"/>
        <w:jc w:val="both"/>
        <w:rPr>
          <w:rFonts w:ascii="Arial" w:hAnsi="Arial"/>
          <w:sz w:val="21"/>
          <w:szCs w:val="21"/>
        </w:rPr>
      </w:pPr>
      <w:r>
        <w:rPr>
          <w:rFonts w:ascii="Arial" w:hAnsi="Arial"/>
          <w:sz w:val="21"/>
          <w:szCs w:val="21"/>
          <w:lang w:val="es-ES"/>
        </w:rPr>
        <w:t xml:space="preserve">Asimismo, se elimina el carácter “tumultuario” del alzamiento, que podía inducir a interpretaciones diversas y poco garantistas con el ejercicio de derechos fundamentales. </w:t>
      </w:r>
    </w:p>
    <w:p w:rsidR="002A25B1" w:rsidRDefault="002A25B1">
      <w:pPr>
        <w:spacing w:line="276" w:lineRule="auto"/>
        <w:jc w:val="both"/>
        <w:rPr>
          <w:rFonts w:hint="eastAsia"/>
          <w:lang w:val="es-ES"/>
        </w:rPr>
      </w:pPr>
    </w:p>
    <w:p w:rsidR="002A25B1" w:rsidRDefault="00CF6985">
      <w:pPr>
        <w:spacing w:line="276" w:lineRule="auto"/>
        <w:jc w:val="both"/>
        <w:rPr>
          <w:rFonts w:hint="eastAsia"/>
        </w:rPr>
      </w:pPr>
      <w:r>
        <w:rPr>
          <w:rFonts w:ascii="Arial" w:hAnsi="Arial"/>
          <w:sz w:val="21"/>
          <w:szCs w:val="21"/>
          <w:lang w:val="es-ES"/>
        </w:rPr>
        <w:t xml:space="preserve">También, se especifica que el alzamiento deberá ser violento, entendiendo como tal el uso fuerza física o una grave intimidación. </w:t>
      </w:r>
    </w:p>
    <w:p w:rsidR="002A25B1" w:rsidRDefault="002A25B1">
      <w:pPr>
        <w:spacing w:line="276" w:lineRule="auto"/>
        <w:jc w:val="both"/>
        <w:rPr>
          <w:rFonts w:hint="eastAsia"/>
          <w:lang w:val="es-ES"/>
        </w:rPr>
      </w:pPr>
    </w:p>
    <w:p w:rsidR="002A25B1" w:rsidRDefault="00CF6985">
      <w:pPr>
        <w:spacing w:line="276" w:lineRule="auto"/>
        <w:jc w:val="both"/>
        <w:rPr>
          <w:rFonts w:hint="eastAsia"/>
        </w:rPr>
      </w:pPr>
      <w:r>
        <w:rPr>
          <w:rFonts w:ascii="Arial" w:hAnsi="Arial"/>
          <w:sz w:val="21"/>
          <w:szCs w:val="21"/>
          <w:lang w:val="es-ES"/>
        </w:rPr>
        <w:t xml:space="preserve">En concreto, se introduce que el alzamiento necesario para la concurrencia del tipo penal sea de carácter violento y con la finalidad concreta de impedir, como efecto directo del uso ilegítimo de la fuerza física </w:t>
      </w:r>
      <w:r>
        <w:rPr>
          <w:rFonts w:ascii="Arial" w:hAnsi="Arial"/>
          <w:sz w:val="21"/>
          <w:szCs w:val="21"/>
          <w:lang w:val="es-ES"/>
        </w:rPr>
        <w:t xml:space="preserve">directa sobre las personas </w:t>
      </w:r>
      <w:r>
        <w:rPr>
          <w:rFonts w:ascii="Arial" w:hAnsi="Arial"/>
          <w:sz w:val="21"/>
          <w:szCs w:val="21"/>
          <w:lang w:val="es-ES"/>
        </w:rPr>
        <w:t>o como efecto me</w:t>
      </w:r>
      <w:r>
        <w:rPr>
          <w:rFonts w:ascii="Arial" w:hAnsi="Arial"/>
          <w:sz w:val="21"/>
          <w:szCs w:val="21"/>
          <w:lang w:val="es-ES"/>
        </w:rPr>
        <w:t>diato de una grave intimidación capaz de doblegar la voluntad de las autoridades competentes, la aplicación de las normas o resoluciones jurídicas o el legítimo ejercicio de las potestades administrativas o judiciales, perturbando seriamente el orden públi</w:t>
      </w:r>
      <w:r>
        <w:rPr>
          <w:rFonts w:ascii="Arial" w:hAnsi="Arial"/>
          <w:sz w:val="21"/>
          <w:szCs w:val="21"/>
          <w:lang w:val="es-ES"/>
        </w:rPr>
        <w:t xml:space="preserve">co. </w:t>
      </w:r>
    </w:p>
    <w:p w:rsidR="002A25B1" w:rsidRDefault="002A25B1">
      <w:pPr>
        <w:spacing w:line="276" w:lineRule="auto"/>
        <w:jc w:val="both"/>
        <w:rPr>
          <w:rFonts w:hint="eastAsia"/>
          <w:lang w:val="es-ES"/>
        </w:rPr>
      </w:pPr>
    </w:p>
    <w:p w:rsidR="002A25B1" w:rsidRDefault="002A25B1">
      <w:pPr>
        <w:spacing w:line="276" w:lineRule="auto"/>
        <w:jc w:val="both"/>
        <w:rPr>
          <w:rFonts w:ascii="Arial" w:hAnsi="Arial"/>
          <w:sz w:val="21"/>
          <w:szCs w:val="21"/>
          <w:lang w:val="es-ES"/>
        </w:rPr>
      </w:pPr>
    </w:p>
    <w:p w:rsidR="002A25B1" w:rsidRDefault="00CF6985">
      <w:pPr>
        <w:spacing w:line="276" w:lineRule="auto"/>
        <w:jc w:val="both"/>
        <w:rPr>
          <w:rFonts w:ascii="Arial" w:hAnsi="Arial"/>
          <w:sz w:val="21"/>
          <w:szCs w:val="21"/>
        </w:rPr>
      </w:pPr>
      <w:r>
        <w:rPr>
          <w:rFonts w:ascii="Arial" w:hAnsi="Arial"/>
          <w:sz w:val="21"/>
          <w:szCs w:val="21"/>
          <w:lang w:val="es-ES"/>
        </w:rPr>
        <w:t>De esta forma, la tipificación del delito encaja con la descripción de la Real Academia Española, que entiende la sedición como un “Alzamiento colectivo y violento contra la autoridad, el orden público o la disciplina militar, sin llegar a la graved</w:t>
      </w:r>
      <w:r>
        <w:rPr>
          <w:rFonts w:ascii="Arial" w:hAnsi="Arial"/>
          <w:sz w:val="21"/>
          <w:szCs w:val="21"/>
          <w:lang w:val="es-ES"/>
        </w:rPr>
        <w:t xml:space="preserve">ad de la rebelión”. </w:t>
      </w:r>
    </w:p>
    <w:p w:rsidR="002A25B1" w:rsidRDefault="002A25B1">
      <w:pPr>
        <w:spacing w:line="276" w:lineRule="auto"/>
        <w:jc w:val="both"/>
        <w:rPr>
          <w:rFonts w:ascii="Arial" w:hAnsi="Arial"/>
          <w:sz w:val="21"/>
          <w:szCs w:val="21"/>
          <w:lang w:val="es-ES"/>
        </w:rPr>
      </w:pPr>
    </w:p>
    <w:p w:rsidR="002A25B1" w:rsidRDefault="00CF6985">
      <w:pPr>
        <w:spacing w:line="276" w:lineRule="auto"/>
        <w:jc w:val="both"/>
        <w:rPr>
          <w:rFonts w:ascii="Arial" w:hAnsi="Arial"/>
          <w:sz w:val="21"/>
          <w:szCs w:val="21"/>
        </w:rPr>
      </w:pPr>
      <w:r>
        <w:rPr>
          <w:rFonts w:ascii="Arial" w:hAnsi="Arial"/>
          <w:sz w:val="21"/>
          <w:szCs w:val="21"/>
          <w:lang w:val="es-ES"/>
        </w:rPr>
        <w:t>La redacción propuesta también es coherente con la protección del derecho de reunión en el sentido previsto tanto en la jurisprudencia del Tribunal Constitucional, como en las decisiones de tribunales y organismos internacionales en m</w:t>
      </w:r>
      <w:r>
        <w:rPr>
          <w:rFonts w:ascii="Arial" w:hAnsi="Arial"/>
          <w:sz w:val="21"/>
          <w:szCs w:val="21"/>
          <w:lang w:val="es-ES"/>
        </w:rPr>
        <w:t>ateria de derechos humanos.</w:t>
      </w:r>
    </w:p>
    <w:p w:rsidR="002A25B1" w:rsidRDefault="002A25B1">
      <w:pPr>
        <w:spacing w:line="276" w:lineRule="auto"/>
        <w:jc w:val="both"/>
        <w:rPr>
          <w:rFonts w:ascii="Arial" w:hAnsi="Arial"/>
          <w:sz w:val="21"/>
          <w:szCs w:val="21"/>
          <w:lang w:val="es-ES"/>
        </w:rPr>
      </w:pPr>
    </w:p>
    <w:p w:rsidR="002A25B1" w:rsidRDefault="00CF6985">
      <w:pPr>
        <w:spacing w:line="276" w:lineRule="auto"/>
        <w:jc w:val="both"/>
        <w:rPr>
          <w:rFonts w:ascii="Arial" w:hAnsi="Arial"/>
          <w:sz w:val="21"/>
          <w:szCs w:val="21"/>
        </w:rPr>
      </w:pPr>
      <w:r>
        <w:rPr>
          <w:rFonts w:ascii="Arial" w:hAnsi="Arial"/>
          <w:sz w:val="21"/>
          <w:szCs w:val="21"/>
          <w:lang w:val="es-ES"/>
        </w:rPr>
        <w:t xml:space="preserve">Asimismo, con el fin de asegurar una interpretación garantista con la libre expresión de ideas y opiniones a través de concentraciones y manifestaciones en espacios públicos, se concreta en el tipo penal que para que la fuerza </w:t>
      </w:r>
      <w:r>
        <w:rPr>
          <w:rFonts w:ascii="Arial" w:hAnsi="Arial"/>
          <w:sz w:val="21"/>
          <w:szCs w:val="21"/>
          <w:lang w:val="es-ES"/>
        </w:rPr>
        <w:t xml:space="preserve">física o la intimidación grave se consideren adecuadas, los alzados </w:t>
      </w:r>
      <w:r>
        <w:rPr>
          <w:rFonts w:ascii="Arial" w:hAnsi="Arial"/>
          <w:sz w:val="21"/>
          <w:szCs w:val="21"/>
          <w:lang w:val="es-ES"/>
        </w:rPr>
        <w:lastRenderedPageBreak/>
        <w:t>deberán valerse del uso de armas u otros medios peligrosos aptos para poner en grave riesgo la vida  de las personas</w:t>
      </w:r>
      <w:r>
        <w:rPr>
          <w:rFonts w:ascii="Arial" w:hAnsi="Arial"/>
          <w:sz w:val="21"/>
          <w:szCs w:val="21"/>
          <w:lang w:val="es-ES"/>
        </w:rPr>
        <w:t xml:space="preserve"> o causar lesiones graves.</w:t>
      </w:r>
    </w:p>
    <w:p w:rsidR="002A25B1" w:rsidRDefault="002A25B1">
      <w:pPr>
        <w:spacing w:line="276" w:lineRule="auto"/>
        <w:jc w:val="both"/>
        <w:rPr>
          <w:rFonts w:hint="eastAsia"/>
          <w:lang w:val="es-ES"/>
        </w:rPr>
      </w:pPr>
    </w:p>
    <w:p w:rsidR="002A25B1" w:rsidRDefault="00CF6985">
      <w:pPr>
        <w:spacing w:line="276" w:lineRule="auto"/>
        <w:jc w:val="both"/>
        <w:rPr>
          <w:rFonts w:ascii="Arial" w:hAnsi="Arial"/>
          <w:sz w:val="21"/>
          <w:szCs w:val="21"/>
        </w:rPr>
      </w:pPr>
      <w:r>
        <w:rPr>
          <w:rFonts w:ascii="Arial" w:hAnsi="Arial"/>
          <w:sz w:val="21"/>
          <w:szCs w:val="21"/>
          <w:lang w:val="es-ES"/>
        </w:rPr>
        <w:t>En coherencia, se adecúan las penas prevista</w:t>
      </w:r>
      <w:r>
        <w:rPr>
          <w:rFonts w:ascii="Arial" w:hAnsi="Arial"/>
          <w:sz w:val="21"/>
          <w:szCs w:val="21"/>
          <w:lang w:val="es-ES"/>
        </w:rPr>
        <w:t>s a la entidad penal del delito.</w:t>
      </w:r>
    </w:p>
    <w:p w:rsidR="002A25B1" w:rsidRDefault="002A25B1">
      <w:pPr>
        <w:spacing w:line="276" w:lineRule="auto"/>
        <w:jc w:val="both"/>
        <w:rPr>
          <w:rFonts w:ascii="Arial" w:hAnsi="Arial"/>
          <w:sz w:val="21"/>
          <w:szCs w:val="21"/>
          <w:lang w:val="es-ES"/>
        </w:rPr>
      </w:pPr>
    </w:p>
    <w:p w:rsidR="002A25B1" w:rsidRDefault="002A25B1">
      <w:pPr>
        <w:spacing w:line="276" w:lineRule="auto"/>
        <w:jc w:val="both"/>
        <w:rPr>
          <w:rFonts w:ascii="Arial" w:hAnsi="Arial"/>
          <w:sz w:val="21"/>
          <w:szCs w:val="21"/>
          <w:lang w:val="es-ES"/>
        </w:rPr>
      </w:pPr>
    </w:p>
    <w:p w:rsidR="002A25B1" w:rsidRDefault="00CF6985">
      <w:pPr>
        <w:pStyle w:val="Textoindependiente"/>
        <w:spacing w:after="225"/>
        <w:jc w:val="both"/>
        <w:rPr>
          <w:rFonts w:hint="eastAsia"/>
        </w:rPr>
      </w:pPr>
      <w:r>
        <w:rPr>
          <w:rFonts w:ascii="Arial" w:hAnsi="Arial"/>
          <w:sz w:val="21"/>
          <w:szCs w:val="21"/>
          <w:lang w:val="es-ES"/>
        </w:rPr>
        <w:t>De esta forma, se equipara la tipificación a los principales países europeos de nuestro círculo jurídico, donde es posible encontrar infracciones equivalentes, en los que se exige siempre que esté presente la violencia, l</w:t>
      </w:r>
      <w:r>
        <w:rPr>
          <w:rFonts w:ascii="Arial" w:hAnsi="Arial"/>
          <w:sz w:val="21"/>
          <w:szCs w:val="21"/>
          <w:lang w:val="es-ES"/>
        </w:rPr>
        <w:t>a intimidación o la amenaza del uso de la violencia.</w:t>
      </w:r>
    </w:p>
    <w:p w:rsidR="002A25B1" w:rsidRDefault="002A25B1">
      <w:pPr>
        <w:pStyle w:val="Textoindependiente"/>
        <w:spacing w:after="225"/>
        <w:jc w:val="both"/>
        <w:rPr>
          <w:rFonts w:ascii="Arial" w:hAnsi="Arial"/>
          <w:sz w:val="21"/>
          <w:szCs w:val="21"/>
          <w:lang w:val="es-ES"/>
        </w:rPr>
      </w:pPr>
    </w:p>
    <w:p w:rsidR="002A25B1" w:rsidRDefault="00CF6985">
      <w:pPr>
        <w:pStyle w:val="Textoindependiente"/>
        <w:spacing w:after="225"/>
        <w:jc w:val="both"/>
        <w:rPr>
          <w:rFonts w:hint="eastAsia"/>
        </w:rPr>
      </w:pPr>
      <w:r>
        <w:rPr>
          <w:rFonts w:ascii="Arial" w:hAnsi="Arial"/>
          <w:sz w:val="21"/>
          <w:szCs w:val="21"/>
          <w:lang w:val="es-ES"/>
        </w:rPr>
        <w:t xml:space="preserve">Además, también se reforma el código penal para </w:t>
      </w:r>
      <w:r>
        <w:rPr>
          <w:rFonts w:ascii="Arial" w:hAnsi="Arial"/>
          <w:sz w:val="22"/>
          <w:szCs w:val="22"/>
          <w:lang w:val="es-ES"/>
        </w:rPr>
        <w:t xml:space="preserve">la supresión del artículo 315.3 del Código Penal, para la garantía del derecho fundamental a la libertad sindical y el ejercicio del derecho de huelga. </w:t>
      </w:r>
    </w:p>
    <w:p w:rsidR="002A25B1" w:rsidRDefault="00CF6985">
      <w:pPr>
        <w:pStyle w:val="Textoindependiente"/>
        <w:spacing w:after="225"/>
        <w:jc w:val="both"/>
        <w:rPr>
          <w:rFonts w:hint="eastAsia"/>
        </w:rPr>
      </w:pPr>
      <w:r>
        <w:rPr>
          <w:rFonts w:ascii="Arial" w:hAnsi="Arial"/>
          <w:sz w:val="22"/>
          <w:szCs w:val="22"/>
          <w:lang w:val="es-ES"/>
        </w:rPr>
        <w:t xml:space="preserve">Este precepto penal supone la criminalización de los piquetes informativos y </w:t>
      </w:r>
      <w:r>
        <w:rPr>
          <w:rFonts w:ascii="Arial" w:hAnsi="Arial"/>
          <w:sz w:val="22"/>
          <w:szCs w:val="22"/>
          <w:lang w:val="es-ES"/>
        </w:rPr>
        <w:t>produce un efecto desaliento en el ejercicio del derecho de huelga y la extensión de sus efectos. Los poderes públicos deben garantizar el ejercicio de medidas de conflicto colect</w:t>
      </w:r>
      <w:r>
        <w:rPr>
          <w:rFonts w:ascii="Arial" w:hAnsi="Arial"/>
          <w:sz w:val="22"/>
          <w:szCs w:val="22"/>
          <w:lang w:val="es-ES"/>
        </w:rPr>
        <w:t xml:space="preserve">ivo para la mejora de las condiciones laborales de las personas trabajadoras y el avance en la consecución de la igualdad real. </w:t>
      </w:r>
    </w:p>
    <w:p w:rsidR="002A25B1" w:rsidRDefault="002A25B1">
      <w:pPr>
        <w:pStyle w:val="Textoindependiente"/>
        <w:spacing w:after="225"/>
        <w:jc w:val="both"/>
        <w:rPr>
          <w:rFonts w:ascii="Arial" w:hAnsi="Arial"/>
          <w:sz w:val="21"/>
          <w:szCs w:val="21"/>
          <w:lang w:val="es-ES"/>
        </w:rPr>
      </w:pPr>
    </w:p>
    <w:p w:rsidR="002A25B1" w:rsidRDefault="00CF6985">
      <w:pPr>
        <w:pStyle w:val="Textoindependiente"/>
        <w:spacing w:after="225"/>
        <w:jc w:val="both"/>
        <w:rPr>
          <w:rFonts w:hint="eastAsia"/>
        </w:rPr>
      </w:pPr>
      <w:r>
        <w:rPr>
          <w:rFonts w:ascii="Arial" w:hAnsi="Arial"/>
          <w:b/>
          <w:bCs/>
          <w:sz w:val="21"/>
          <w:szCs w:val="21"/>
          <w:lang w:val="es-ES"/>
        </w:rPr>
        <w:t xml:space="preserve">Artículo </w:t>
      </w:r>
      <w:r>
        <w:rPr>
          <w:rFonts w:ascii="Arial" w:hAnsi="Arial"/>
          <w:b/>
          <w:bCs/>
          <w:sz w:val="21"/>
          <w:szCs w:val="21"/>
          <w:lang w:val="es-ES"/>
        </w:rPr>
        <w:t>único</w:t>
      </w:r>
      <w:r>
        <w:rPr>
          <w:rFonts w:ascii="Arial" w:hAnsi="Arial"/>
          <w:b/>
          <w:bCs/>
          <w:sz w:val="21"/>
          <w:szCs w:val="21"/>
          <w:lang w:val="es-ES"/>
        </w:rPr>
        <w:t>. Modificación de la Ley Orgánica 10/1995, de 23 de noviembre, del Código Penal.</w:t>
      </w:r>
    </w:p>
    <w:p w:rsidR="002A25B1" w:rsidRDefault="00CF6985">
      <w:pPr>
        <w:pStyle w:val="Textoindependiente"/>
        <w:spacing w:after="225"/>
        <w:jc w:val="both"/>
        <w:rPr>
          <w:rFonts w:hint="eastAsia"/>
        </w:rPr>
      </w:pPr>
      <w:r>
        <w:rPr>
          <w:rFonts w:ascii="Arial" w:hAnsi="Arial"/>
          <w:sz w:val="21"/>
          <w:szCs w:val="21"/>
          <w:lang w:val="es-ES"/>
        </w:rPr>
        <w:t xml:space="preserve">La Ley Orgánica 10/1995, de 23 </w:t>
      </w:r>
      <w:r>
        <w:rPr>
          <w:rFonts w:ascii="Arial" w:hAnsi="Arial"/>
          <w:sz w:val="21"/>
          <w:szCs w:val="21"/>
          <w:lang w:val="es-ES"/>
        </w:rPr>
        <w:t>de noviembre, del Código Penal queda redactada en los siguientes términos.</w:t>
      </w:r>
    </w:p>
    <w:p w:rsidR="002A25B1" w:rsidRDefault="002A25B1">
      <w:pPr>
        <w:pStyle w:val="Textoindependiente"/>
        <w:spacing w:after="225"/>
        <w:jc w:val="both"/>
        <w:rPr>
          <w:rFonts w:ascii="Arial" w:hAnsi="Arial"/>
          <w:sz w:val="21"/>
          <w:szCs w:val="21"/>
          <w:lang w:val="es-ES"/>
        </w:rPr>
      </w:pPr>
    </w:p>
    <w:p w:rsidR="002A25B1" w:rsidRDefault="00CF6985">
      <w:pPr>
        <w:pStyle w:val="Textoindependiente"/>
        <w:spacing w:after="225"/>
        <w:jc w:val="both"/>
        <w:rPr>
          <w:rFonts w:ascii="Arial" w:hAnsi="Arial"/>
          <w:b/>
          <w:bCs/>
          <w:sz w:val="21"/>
          <w:szCs w:val="21"/>
        </w:rPr>
      </w:pPr>
      <w:r>
        <w:rPr>
          <w:rFonts w:ascii="Arial" w:hAnsi="Arial"/>
          <w:b/>
          <w:bCs/>
          <w:sz w:val="21"/>
          <w:szCs w:val="21"/>
          <w:lang w:val="es-ES"/>
        </w:rPr>
        <w:t xml:space="preserve">Uno. </w:t>
      </w:r>
      <w:r>
        <w:rPr>
          <w:rFonts w:ascii="Arial" w:hAnsi="Arial"/>
          <w:b/>
          <w:bCs/>
          <w:sz w:val="21"/>
          <w:szCs w:val="21"/>
        </w:rPr>
        <w:t xml:space="preserve">Se </w:t>
      </w:r>
      <w:proofErr w:type="spellStart"/>
      <w:r>
        <w:rPr>
          <w:rFonts w:ascii="Arial" w:hAnsi="Arial"/>
          <w:b/>
          <w:bCs/>
          <w:sz w:val="21"/>
          <w:szCs w:val="21"/>
        </w:rPr>
        <w:t>suprime</w:t>
      </w:r>
      <w:proofErr w:type="spellEnd"/>
      <w:r>
        <w:rPr>
          <w:rFonts w:ascii="Arial" w:hAnsi="Arial"/>
          <w:b/>
          <w:bCs/>
          <w:sz w:val="21"/>
          <w:szCs w:val="21"/>
        </w:rPr>
        <w:t xml:space="preserve"> el </w:t>
      </w:r>
      <w:proofErr w:type="spellStart"/>
      <w:r>
        <w:rPr>
          <w:rFonts w:ascii="Arial" w:hAnsi="Arial"/>
          <w:b/>
          <w:bCs/>
          <w:sz w:val="21"/>
          <w:szCs w:val="21"/>
        </w:rPr>
        <w:t>apartado</w:t>
      </w:r>
      <w:proofErr w:type="spellEnd"/>
      <w:r>
        <w:rPr>
          <w:rFonts w:ascii="Arial" w:hAnsi="Arial"/>
          <w:b/>
          <w:bCs/>
          <w:sz w:val="21"/>
          <w:szCs w:val="21"/>
        </w:rPr>
        <w:t xml:space="preserve"> 3 del </w:t>
      </w:r>
      <w:proofErr w:type="spellStart"/>
      <w:r>
        <w:rPr>
          <w:rFonts w:ascii="Arial" w:hAnsi="Arial"/>
          <w:b/>
          <w:bCs/>
          <w:sz w:val="21"/>
          <w:szCs w:val="21"/>
        </w:rPr>
        <w:t>artículo</w:t>
      </w:r>
      <w:proofErr w:type="spellEnd"/>
      <w:r>
        <w:rPr>
          <w:rFonts w:ascii="Arial" w:hAnsi="Arial"/>
          <w:b/>
          <w:bCs/>
          <w:sz w:val="21"/>
          <w:szCs w:val="21"/>
        </w:rPr>
        <w:t xml:space="preserve"> 315 de la </w:t>
      </w:r>
      <w:proofErr w:type="spellStart"/>
      <w:r>
        <w:rPr>
          <w:rFonts w:ascii="Arial" w:hAnsi="Arial"/>
          <w:b/>
          <w:bCs/>
          <w:sz w:val="21"/>
          <w:szCs w:val="21"/>
        </w:rPr>
        <w:t>Ley</w:t>
      </w:r>
      <w:proofErr w:type="spellEnd"/>
      <w:r>
        <w:rPr>
          <w:rFonts w:ascii="Arial" w:hAnsi="Arial"/>
          <w:b/>
          <w:bCs/>
          <w:sz w:val="21"/>
          <w:szCs w:val="21"/>
        </w:rPr>
        <w:t xml:space="preserve"> </w:t>
      </w:r>
      <w:proofErr w:type="spellStart"/>
      <w:r>
        <w:rPr>
          <w:rFonts w:ascii="Arial" w:hAnsi="Arial"/>
          <w:b/>
          <w:bCs/>
          <w:sz w:val="21"/>
          <w:szCs w:val="21"/>
        </w:rPr>
        <w:t>Orgánica</w:t>
      </w:r>
      <w:proofErr w:type="spellEnd"/>
      <w:r>
        <w:rPr>
          <w:rFonts w:ascii="Arial" w:hAnsi="Arial"/>
          <w:b/>
          <w:bCs/>
          <w:sz w:val="21"/>
          <w:szCs w:val="21"/>
        </w:rPr>
        <w:t xml:space="preserve"> 10/1995, de 23 </w:t>
      </w:r>
      <w:proofErr w:type="spellStart"/>
      <w:r>
        <w:rPr>
          <w:rFonts w:ascii="Arial" w:hAnsi="Arial"/>
          <w:b/>
          <w:bCs/>
          <w:sz w:val="21"/>
          <w:szCs w:val="21"/>
        </w:rPr>
        <w:t>noviembre</w:t>
      </w:r>
      <w:proofErr w:type="spellEnd"/>
      <w:r>
        <w:rPr>
          <w:rFonts w:ascii="Arial" w:hAnsi="Arial"/>
          <w:b/>
          <w:bCs/>
          <w:sz w:val="21"/>
          <w:szCs w:val="21"/>
        </w:rPr>
        <w:t xml:space="preserve">, del </w:t>
      </w:r>
      <w:proofErr w:type="spellStart"/>
      <w:r>
        <w:rPr>
          <w:rFonts w:ascii="Arial" w:hAnsi="Arial"/>
          <w:b/>
          <w:bCs/>
          <w:sz w:val="21"/>
          <w:szCs w:val="21"/>
        </w:rPr>
        <w:t>Código</w:t>
      </w:r>
      <w:proofErr w:type="spellEnd"/>
      <w:r>
        <w:rPr>
          <w:rFonts w:ascii="Arial" w:hAnsi="Arial"/>
          <w:b/>
          <w:bCs/>
          <w:sz w:val="21"/>
          <w:szCs w:val="21"/>
        </w:rPr>
        <w:t xml:space="preserve"> Penal.</w:t>
      </w:r>
      <w:r>
        <w:rPr>
          <w:rFonts w:ascii="Arial" w:hAnsi="Arial"/>
          <w:b/>
          <w:bCs/>
          <w:sz w:val="21"/>
          <w:szCs w:val="21"/>
        </w:rPr>
        <w:t xml:space="preserve"> </w:t>
      </w:r>
    </w:p>
    <w:p w:rsidR="002A25B1" w:rsidRDefault="002A25B1">
      <w:pPr>
        <w:pStyle w:val="Textoindependiente"/>
        <w:spacing w:after="225"/>
        <w:jc w:val="both"/>
        <w:rPr>
          <w:rFonts w:hint="eastAsia"/>
          <w:b/>
          <w:bCs/>
          <w:lang w:val="es-ES"/>
        </w:rPr>
      </w:pPr>
    </w:p>
    <w:p w:rsidR="002A25B1" w:rsidRDefault="00CF6985">
      <w:pPr>
        <w:pStyle w:val="Textoindependiente"/>
        <w:spacing w:after="225"/>
        <w:jc w:val="both"/>
        <w:rPr>
          <w:rFonts w:hint="eastAsia"/>
        </w:rPr>
      </w:pPr>
      <w:r>
        <w:rPr>
          <w:rFonts w:ascii="Arial" w:hAnsi="Arial"/>
          <w:b/>
          <w:bCs/>
          <w:sz w:val="21"/>
          <w:szCs w:val="21"/>
          <w:lang w:val="es-ES"/>
        </w:rPr>
        <w:t>Dos</w:t>
      </w:r>
      <w:r>
        <w:rPr>
          <w:rFonts w:ascii="Arial" w:hAnsi="Arial"/>
          <w:b/>
          <w:bCs/>
          <w:sz w:val="21"/>
          <w:szCs w:val="21"/>
          <w:lang w:val="es-ES"/>
        </w:rPr>
        <w:t>. Se modifica el artículo 544, con la redacción siguiente:</w:t>
      </w:r>
    </w:p>
    <w:p w:rsidR="002A25B1" w:rsidRDefault="002A25B1">
      <w:pPr>
        <w:pStyle w:val="Textoindependiente"/>
        <w:spacing w:after="225"/>
        <w:jc w:val="both"/>
        <w:rPr>
          <w:rFonts w:hint="eastAsia"/>
          <w:b/>
          <w:bCs/>
          <w:lang w:val="es-ES"/>
        </w:rPr>
      </w:pPr>
    </w:p>
    <w:p w:rsidR="002A25B1" w:rsidRDefault="00CF6985">
      <w:pPr>
        <w:pStyle w:val="Textoindependiente"/>
        <w:spacing w:after="225"/>
        <w:ind w:left="720"/>
        <w:jc w:val="both"/>
        <w:rPr>
          <w:rFonts w:ascii="Arial" w:hAnsi="Arial"/>
          <w:sz w:val="21"/>
          <w:szCs w:val="21"/>
        </w:rPr>
      </w:pPr>
      <w:proofErr w:type="gramStart"/>
      <w:r>
        <w:rPr>
          <w:rFonts w:ascii="Arial" w:hAnsi="Arial"/>
          <w:sz w:val="21"/>
          <w:szCs w:val="21"/>
          <w:lang w:val="es-ES"/>
        </w:rPr>
        <w:t>“ 1</w:t>
      </w:r>
      <w:proofErr w:type="gramEnd"/>
      <w:r>
        <w:rPr>
          <w:rFonts w:ascii="Arial" w:hAnsi="Arial"/>
          <w:sz w:val="21"/>
          <w:szCs w:val="21"/>
          <w:lang w:val="es-ES"/>
        </w:rPr>
        <w:t xml:space="preserve">. </w:t>
      </w:r>
      <w:r>
        <w:rPr>
          <w:rFonts w:ascii="Arial" w:hAnsi="Arial"/>
          <w:sz w:val="21"/>
          <w:szCs w:val="21"/>
          <w:lang w:val="es-ES"/>
        </w:rPr>
        <w:t>Son reos de sedición los que se alcen violenta y públicamente para impedir, como efecto directo del uso ilegítimo de la fuerza físic</w:t>
      </w:r>
      <w:r>
        <w:rPr>
          <w:rFonts w:ascii="Arial" w:hAnsi="Arial"/>
          <w:sz w:val="21"/>
          <w:szCs w:val="21"/>
          <w:lang w:val="es-ES"/>
        </w:rPr>
        <w:t xml:space="preserve">a directa sobre las personas o como </w:t>
      </w:r>
      <w:r>
        <w:rPr>
          <w:rFonts w:ascii="Arial" w:hAnsi="Arial"/>
          <w:sz w:val="21"/>
          <w:szCs w:val="21"/>
          <w:lang w:val="es-ES"/>
        </w:rPr>
        <w:t>efecto mediato de una grave intimidación capaz de doblegar la voluntad de las autoridade</w:t>
      </w:r>
      <w:r>
        <w:rPr>
          <w:rFonts w:ascii="Arial" w:hAnsi="Arial"/>
          <w:sz w:val="21"/>
          <w:szCs w:val="21"/>
          <w:lang w:val="es-ES"/>
        </w:rPr>
        <w:t>s competentes, la aplicación de las normas o resoluciones judiciales o el legítimo ejercicio de las potestades administrativas o judiciales, perturbando seriamente el orden público.</w:t>
      </w:r>
    </w:p>
    <w:p w:rsidR="002A25B1" w:rsidRDefault="00CF6985">
      <w:pPr>
        <w:pStyle w:val="Textoindependiente"/>
        <w:spacing w:after="225"/>
        <w:ind w:left="720"/>
        <w:jc w:val="both"/>
        <w:rPr>
          <w:rFonts w:ascii="Arial" w:hAnsi="Arial"/>
          <w:sz w:val="21"/>
          <w:szCs w:val="21"/>
        </w:rPr>
      </w:pPr>
      <w:r>
        <w:rPr>
          <w:rFonts w:ascii="Arial" w:hAnsi="Arial"/>
          <w:sz w:val="21"/>
          <w:szCs w:val="21"/>
          <w:lang w:val="es-ES"/>
        </w:rPr>
        <w:t>2. Para que la fuerza física o la intimidación grave sean consideradas ade</w:t>
      </w:r>
      <w:r>
        <w:rPr>
          <w:rFonts w:ascii="Arial" w:hAnsi="Arial"/>
          <w:sz w:val="21"/>
          <w:szCs w:val="21"/>
          <w:lang w:val="es-ES"/>
        </w:rPr>
        <w:t>cuadas para los fines del anterior apartado, los alzados deberán valerse del uso de las armas u otros medios peligrosos aptos para poner en grave riesgo la vida de las persona</w:t>
      </w:r>
      <w:r>
        <w:rPr>
          <w:rFonts w:ascii="Arial" w:hAnsi="Arial"/>
          <w:sz w:val="21"/>
          <w:szCs w:val="21"/>
          <w:lang w:val="es-ES"/>
        </w:rPr>
        <w:t>s o causar lesiones graves.”</w:t>
      </w:r>
    </w:p>
    <w:p w:rsidR="002A25B1" w:rsidRDefault="002A25B1">
      <w:pPr>
        <w:pStyle w:val="Textoindependiente"/>
        <w:spacing w:after="225"/>
        <w:jc w:val="both"/>
        <w:rPr>
          <w:rFonts w:ascii="Arial" w:hAnsi="Arial"/>
          <w:sz w:val="21"/>
          <w:szCs w:val="21"/>
          <w:lang w:val="es-ES"/>
        </w:rPr>
      </w:pPr>
    </w:p>
    <w:p w:rsidR="002A25B1" w:rsidRDefault="00CF6985">
      <w:pPr>
        <w:pStyle w:val="Textoindependiente"/>
        <w:spacing w:after="225"/>
        <w:jc w:val="both"/>
        <w:rPr>
          <w:rFonts w:hint="eastAsia"/>
        </w:rPr>
      </w:pPr>
      <w:r>
        <w:rPr>
          <w:rFonts w:ascii="Arial" w:hAnsi="Arial"/>
          <w:b/>
          <w:bCs/>
          <w:sz w:val="21"/>
          <w:szCs w:val="21"/>
          <w:lang w:val="es-ES"/>
        </w:rPr>
        <w:t>Tres. Se modifica el artículo 545, con la redacción</w:t>
      </w:r>
      <w:r>
        <w:rPr>
          <w:rFonts w:ascii="Arial" w:hAnsi="Arial"/>
          <w:b/>
          <w:bCs/>
          <w:sz w:val="21"/>
          <w:szCs w:val="21"/>
          <w:lang w:val="es-ES"/>
        </w:rPr>
        <w:t xml:space="preserve"> siguiente:</w:t>
      </w:r>
    </w:p>
    <w:p w:rsidR="002A25B1" w:rsidRDefault="002A25B1">
      <w:pPr>
        <w:pStyle w:val="Textoindependiente"/>
        <w:spacing w:after="225"/>
        <w:jc w:val="both"/>
        <w:rPr>
          <w:rFonts w:hint="eastAsia"/>
          <w:lang w:val="es-ES"/>
        </w:rPr>
      </w:pPr>
    </w:p>
    <w:p w:rsidR="002A25B1" w:rsidRDefault="00CF6985">
      <w:pPr>
        <w:pStyle w:val="Textoindependiente"/>
        <w:spacing w:after="225"/>
        <w:ind w:left="720"/>
        <w:jc w:val="both"/>
        <w:rPr>
          <w:rFonts w:hint="eastAsia"/>
        </w:rPr>
      </w:pPr>
      <w:r>
        <w:rPr>
          <w:rFonts w:ascii="Arial" w:hAnsi="Arial"/>
          <w:sz w:val="21"/>
          <w:szCs w:val="21"/>
          <w:lang w:val="es-ES"/>
        </w:rPr>
        <w:lastRenderedPageBreak/>
        <w:t>“1. Los que hubieran inducido, organizado o dirigido la sedición, o aparecieren en ella como sus principales autores, serán castigados con la pena de prisión de diez a veinte años e inhabilitación absoluta por el mismo tiempo. Fuera de estos c</w:t>
      </w:r>
      <w:r>
        <w:rPr>
          <w:rFonts w:ascii="Arial" w:hAnsi="Arial"/>
          <w:sz w:val="21"/>
          <w:szCs w:val="21"/>
          <w:lang w:val="es-ES"/>
        </w:rPr>
        <w:t>asos, se impondrá la pena de tres a diez años de prisión y la de inhabilitación especial para empleo o cargo público por el mismo tiempo.</w:t>
      </w:r>
    </w:p>
    <w:p w:rsidR="002A25B1" w:rsidRDefault="00CF6985">
      <w:pPr>
        <w:pStyle w:val="Textoindependiente"/>
        <w:spacing w:after="225"/>
        <w:ind w:left="720"/>
        <w:jc w:val="both"/>
        <w:rPr>
          <w:rFonts w:ascii="Arial" w:hAnsi="Arial"/>
          <w:sz w:val="21"/>
          <w:szCs w:val="21"/>
        </w:rPr>
      </w:pPr>
      <w:r>
        <w:rPr>
          <w:rFonts w:ascii="Arial" w:hAnsi="Arial"/>
          <w:sz w:val="21"/>
          <w:szCs w:val="21"/>
          <w:lang w:val="es-ES"/>
        </w:rPr>
        <w:t>2. Si los reos fueran personas constituidas en autoridad, las penas se impondrán en su mitad superior”.</w:t>
      </w:r>
    </w:p>
    <w:p w:rsidR="002A25B1" w:rsidRDefault="002A25B1">
      <w:pPr>
        <w:pStyle w:val="Textoindependiente"/>
        <w:spacing w:after="225"/>
        <w:jc w:val="both"/>
        <w:rPr>
          <w:rFonts w:hint="eastAsia"/>
          <w:lang w:val="es-ES"/>
        </w:rPr>
      </w:pPr>
    </w:p>
    <w:p w:rsidR="002A25B1" w:rsidRDefault="002A25B1">
      <w:pPr>
        <w:pStyle w:val="Textoindependiente"/>
        <w:spacing w:after="225"/>
        <w:jc w:val="both"/>
        <w:rPr>
          <w:rFonts w:hint="eastAsia"/>
          <w:lang w:val="es-ES"/>
        </w:rPr>
      </w:pPr>
    </w:p>
    <w:p w:rsidR="002A25B1" w:rsidRDefault="00CF6985">
      <w:pPr>
        <w:pStyle w:val="Textoindependiente"/>
        <w:spacing w:after="225"/>
        <w:jc w:val="both"/>
        <w:rPr>
          <w:rFonts w:ascii="Arial" w:hAnsi="Arial"/>
          <w:b/>
          <w:bCs/>
          <w:sz w:val="21"/>
          <w:szCs w:val="21"/>
          <w:lang w:val="es-ES"/>
        </w:rPr>
      </w:pPr>
      <w:bookmarkStart w:id="3" w:name="__DdeLink__1620_2706354817"/>
      <w:bookmarkEnd w:id="3"/>
      <w:r>
        <w:rPr>
          <w:rFonts w:ascii="Arial" w:hAnsi="Arial"/>
          <w:b/>
          <w:bCs/>
          <w:sz w:val="21"/>
          <w:szCs w:val="21"/>
          <w:lang w:val="es-ES"/>
        </w:rPr>
        <w:t xml:space="preserve">Disposición transitoria única. Revisión de sentencias firmes según la nueva redacción del artículo 544 del Código Penal. </w:t>
      </w:r>
    </w:p>
    <w:p w:rsidR="002A25B1" w:rsidRDefault="00CF6985">
      <w:pPr>
        <w:spacing w:line="360" w:lineRule="auto"/>
        <w:jc w:val="both"/>
        <w:rPr>
          <w:rFonts w:ascii="Arial" w:hAnsi="Arial"/>
          <w:sz w:val="21"/>
          <w:szCs w:val="21"/>
        </w:rPr>
      </w:pPr>
      <w:r>
        <w:rPr>
          <w:rFonts w:ascii="Arial" w:eastAsia="Times New Roman" w:hAnsi="Arial" w:cs="Times New Roman"/>
          <w:sz w:val="21"/>
          <w:szCs w:val="21"/>
          <w:lang w:val="es-ES" w:eastAsia="es-ES"/>
        </w:rPr>
        <w:t xml:space="preserve">El Juez o Tribunal sentenciador revisará de oficio las sentencias firmes condenatorias dictadas antes de la vigencia de la entrada en </w:t>
      </w:r>
      <w:r>
        <w:rPr>
          <w:rFonts w:ascii="Arial" w:eastAsia="Times New Roman" w:hAnsi="Arial" w:cs="Times New Roman"/>
          <w:sz w:val="21"/>
          <w:szCs w:val="21"/>
          <w:lang w:val="es-ES" w:eastAsia="es-ES"/>
        </w:rPr>
        <w:t xml:space="preserve">vigor de esta Ley, de acuerdo con lo previsto por el artículo 2.2 del Código Penal. </w:t>
      </w:r>
    </w:p>
    <w:p w:rsidR="002A25B1" w:rsidRDefault="002A25B1">
      <w:pPr>
        <w:pStyle w:val="Textoindependiente"/>
        <w:spacing w:after="225"/>
        <w:jc w:val="both"/>
        <w:rPr>
          <w:rFonts w:ascii="Arial" w:hAnsi="Arial"/>
          <w:b/>
          <w:bCs/>
          <w:sz w:val="21"/>
          <w:szCs w:val="21"/>
          <w:lang w:val="es-ES"/>
        </w:rPr>
      </w:pPr>
      <w:bookmarkStart w:id="4" w:name="__DdeLink__1620_27063548171"/>
      <w:bookmarkEnd w:id="4"/>
    </w:p>
    <w:p w:rsidR="002A25B1" w:rsidRDefault="00CF6985">
      <w:pPr>
        <w:pStyle w:val="Textoindependiente"/>
        <w:spacing w:after="225"/>
        <w:jc w:val="both"/>
        <w:rPr>
          <w:rFonts w:ascii="Arial" w:hAnsi="Arial"/>
          <w:b/>
          <w:bCs/>
          <w:sz w:val="21"/>
          <w:szCs w:val="21"/>
        </w:rPr>
      </w:pPr>
      <w:proofErr w:type="spellStart"/>
      <w:r>
        <w:rPr>
          <w:rFonts w:ascii="Arial" w:hAnsi="Arial"/>
          <w:b/>
          <w:bCs/>
          <w:sz w:val="21"/>
          <w:szCs w:val="21"/>
        </w:rPr>
        <w:t>Disposición</w:t>
      </w:r>
      <w:proofErr w:type="spellEnd"/>
      <w:r>
        <w:rPr>
          <w:rFonts w:ascii="Arial" w:hAnsi="Arial"/>
          <w:b/>
          <w:bCs/>
          <w:sz w:val="21"/>
          <w:szCs w:val="21"/>
        </w:rPr>
        <w:t xml:space="preserve"> </w:t>
      </w:r>
      <w:proofErr w:type="spellStart"/>
      <w:r>
        <w:rPr>
          <w:rFonts w:ascii="Arial" w:hAnsi="Arial"/>
          <w:b/>
          <w:bCs/>
          <w:sz w:val="21"/>
          <w:szCs w:val="21"/>
        </w:rPr>
        <w:t>derogatoria</w:t>
      </w:r>
      <w:proofErr w:type="spellEnd"/>
      <w:r>
        <w:rPr>
          <w:rFonts w:ascii="Arial" w:hAnsi="Arial"/>
          <w:b/>
          <w:bCs/>
          <w:sz w:val="21"/>
          <w:szCs w:val="21"/>
        </w:rPr>
        <w:t xml:space="preserve"> única. </w:t>
      </w:r>
      <w:proofErr w:type="spellStart"/>
      <w:r>
        <w:rPr>
          <w:rFonts w:ascii="Arial" w:hAnsi="Arial"/>
          <w:b/>
          <w:bCs/>
          <w:sz w:val="21"/>
          <w:szCs w:val="21"/>
        </w:rPr>
        <w:t>Derogación</w:t>
      </w:r>
      <w:proofErr w:type="spellEnd"/>
      <w:r>
        <w:rPr>
          <w:rFonts w:ascii="Arial" w:hAnsi="Arial"/>
          <w:b/>
          <w:bCs/>
          <w:sz w:val="21"/>
          <w:szCs w:val="21"/>
        </w:rPr>
        <w:t xml:space="preserve"> normativa.</w:t>
      </w:r>
    </w:p>
    <w:p w:rsidR="002A25B1" w:rsidRDefault="00CF6985">
      <w:pPr>
        <w:pStyle w:val="Textoindependiente"/>
        <w:spacing w:after="225"/>
        <w:jc w:val="both"/>
        <w:rPr>
          <w:rFonts w:ascii="Arial" w:hAnsi="Arial"/>
          <w:sz w:val="21"/>
          <w:szCs w:val="21"/>
        </w:rPr>
      </w:pPr>
      <w:proofErr w:type="spellStart"/>
      <w:r>
        <w:rPr>
          <w:rFonts w:ascii="Arial" w:hAnsi="Arial"/>
          <w:sz w:val="21"/>
          <w:szCs w:val="21"/>
        </w:rPr>
        <w:t>Quedan</w:t>
      </w:r>
      <w:proofErr w:type="spellEnd"/>
      <w:r>
        <w:rPr>
          <w:rFonts w:ascii="Arial" w:hAnsi="Arial"/>
          <w:sz w:val="21"/>
          <w:szCs w:val="21"/>
        </w:rPr>
        <w:t xml:space="preserve"> </w:t>
      </w:r>
      <w:proofErr w:type="spellStart"/>
      <w:r>
        <w:rPr>
          <w:rFonts w:ascii="Arial" w:hAnsi="Arial"/>
          <w:sz w:val="21"/>
          <w:szCs w:val="21"/>
        </w:rPr>
        <w:t>derogadas</w:t>
      </w:r>
      <w:proofErr w:type="spellEnd"/>
      <w:r>
        <w:rPr>
          <w:rFonts w:ascii="Arial" w:hAnsi="Arial"/>
          <w:sz w:val="21"/>
          <w:szCs w:val="21"/>
        </w:rPr>
        <w:t xml:space="preserve"> </w:t>
      </w:r>
      <w:proofErr w:type="spellStart"/>
      <w:r>
        <w:rPr>
          <w:rFonts w:ascii="Arial" w:hAnsi="Arial"/>
          <w:sz w:val="21"/>
          <w:szCs w:val="21"/>
        </w:rPr>
        <w:t>todas</w:t>
      </w:r>
      <w:proofErr w:type="spellEnd"/>
      <w:r>
        <w:rPr>
          <w:rFonts w:ascii="Arial" w:hAnsi="Arial"/>
          <w:sz w:val="21"/>
          <w:szCs w:val="21"/>
        </w:rPr>
        <w:t xml:space="preserve"> las </w:t>
      </w:r>
      <w:proofErr w:type="spellStart"/>
      <w:r>
        <w:rPr>
          <w:rFonts w:ascii="Arial" w:hAnsi="Arial"/>
          <w:sz w:val="21"/>
          <w:szCs w:val="21"/>
        </w:rPr>
        <w:t>disposiciones</w:t>
      </w:r>
      <w:proofErr w:type="spellEnd"/>
      <w:r>
        <w:rPr>
          <w:rFonts w:ascii="Arial" w:hAnsi="Arial"/>
          <w:sz w:val="21"/>
          <w:szCs w:val="21"/>
        </w:rPr>
        <w:t xml:space="preserve"> de igual o inferior </w:t>
      </w:r>
      <w:proofErr w:type="spellStart"/>
      <w:r>
        <w:rPr>
          <w:rFonts w:ascii="Arial" w:hAnsi="Arial"/>
          <w:sz w:val="21"/>
          <w:szCs w:val="21"/>
        </w:rPr>
        <w:t>rango</w:t>
      </w:r>
      <w:proofErr w:type="spellEnd"/>
      <w:r>
        <w:rPr>
          <w:rFonts w:ascii="Arial" w:hAnsi="Arial"/>
          <w:sz w:val="21"/>
          <w:szCs w:val="21"/>
        </w:rPr>
        <w:t xml:space="preserve"> que se </w:t>
      </w:r>
      <w:proofErr w:type="spellStart"/>
      <w:r>
        <w:rPr>
          <w:rFonts w:ascii="Arial" w:hAnsi="Arial"/>
          <w:sz w:val="21"/>
          <w:szCs w:val="21"/>
        </w:rPr>
        <w:t>opongan</w:t>
      </w:r>
      <w:proofErr w:type="spellEnd"/>
      <w:r>
        <w:rPr>
          <w:rFonts w:ascii="Arial" w:hAnsi="Arial"/>
          <w:sz w:val="21"/>
          <w:szCs w:val="21"/>
        </w:rPr>
        <w:t xml:space="preserve"> a la </w:t>
      </w:r>
      <w:proofErr w:type="spellStart"/>
      <w:r>
        <w:rPr>
          <w:rFonts w:ascii="Arial" w:hAnsi="Arial"/>
          <w:sz w:val="21"/>
          <w:szCs w:val="21"/>
        </w:rPr>
        <w:t>presente</w:t>
      </w:r>
      <w:proofErr w:type="spellEnd"/>
      <w:r>
        <w:rPr>
          <w:rFonts w:ascii="Arial" w:hAnsi="Arial"/>
          <w:sz w:val="21"/>
          <w:szCs w:val="21"/>
        </w:rPr>
        <w:t xml:space="preserve"> </w:t>
      </w:r>
      <w:proofErr w:type="spellStart"/>
      <w:r>
        <w:rPr>
          <w:rFonts w:ascii="Arial" w:hAnsi="Arial"/>
          <w:sz w:val="21"/>
          <w:szCs w:val="21"/>
        </w:rPr>
        <w:t>Ley</w:t>
      </w:r>
      <w:proofErr w:type="spellEnd"/>
    </w:p>
    <w:p w:rsidR="002A25B1" w:rsidRDefault="00CF6985">
      <w:pPr>
        <w:pStyle w:val="Textoindependiente"/>
        <w:spacing w:after="225"/>
        <w:jc w:val="both"/>
        <w:rPr>
          <w:rFonts w:ascii="Arial" w:hAnsi="Arial"/>
          <w:sz w:val="21"/>
          <w:szCs w:val="21"/>
        </w:rPr>
      </w:pPr>
      <w:proofErr w:type="spellStart"/>
      <w:r>
        <w:rPr>
          <w:rFonts w:ascii="Arial" w:hAnsi="Arial"/>
          <w:sz w:val="21"/>
          <w:szCs w:val="21"/>
        </w:rPr>
        <w:t>Orgánica</w:t>
      </w:r>
      <w:proofErr w:type="spellEnd"/>
      <w:r>
        <w:rPr>
          <w:rFonts w:ascii="Arial" w:hAnsi="Arial"/>
          <w:sz w:val="21"/>
          <w:szCs w:val="21"/>
        </w:rPr>
        <w:t>.</w:t>
      </w:r>
    </w:p>
    <w:p w:rsidR="002A25B1" w:rsidRDefault="002A25B1">
      <w:pPr>
        <w:pStyle w:val="Textoindependiente"/>
        <w:spacing w:after="225"/>
        <w:jc w:val="both"/>
        <w:rPr>
          <w:rFonts w:ascii="Arial" w:hAnsi="Arial"/>
          <w:sz w:val="21"/>
          <w:szCs w:val="21"/>
        </w:rPr>
      </w:pPr>
    </w:p>
    <w:p w:rsidR="002A25B1" w:rsidRDefault="00CF6985">
      <w:pPr>
        <w:pStyle w:val="Textoindependiente"/>
        <w:spacing w:after="225"/>
        <w:jc w:val="both"/>
        <w:rPr>
          <w:rFonts w:ascii="Arial" w:hAnsi="Arial"/>
          <w:b/>
          <w:bCs/>
          <w:sz w:val="21"/>
          <w:szCs w:val="21"/>
        </w:rPr>
      </w:pPr>
      <w:proofErr w:type="spellStart"/>
      <w:r>
        <w:rPr>
          <w:rFonts w:ascii="Arial" w:hAnsi="Arial"/>
          <w:b/>
          <w:bCs/>
          <w:sz w:val="21"/>
          <w:szCs w:val="21"/>
        </w:rPr>
        <w:t>Disposición</w:t>
      </w:r>
      <w:proofErr w:type="spellEnd"/>
      <w:r>
        <w:rPr>
          <w:rFonts w:ascii="Arial" w:hAnsi="Arial"/>
          <w:b/>
          <w:bCs/>
          <w:sz w:val="21"/>
          <w:szCs w:val="21"/>
        </w:rPr>
        <w:t xml:space="preserve"> final primera. </w:t>
      </w:r>
      <w:proofErr w:type="spellStart"/>
      <w:r>
        <w:rPr>
          <w:rFonts w:ascii="Arial" w:hAnsi="Arial"/>
          <w:b/>
          <w:bCs/>
          <w:sz w:val="21"/>
          <w:szCs w:val="21"/>
        </w:rPr>
        <w:t>Título</w:t>
      </w:r>
      <w:proofErr w:type="spellEnd"/>
      <w:r>
        <w:rPr>
          <w:rFonts w:ascii="Arial" w:hAnsi="Arial"/>
          <w:b/>
          <w:bCs/>
          <w:sz w:val="21"/>
          <w:szCs w:val="21"/>
        </w:rPr>
        <w:t xml:space="preserve"> competencial.</w:t>
      </w:r>
    </w:p>
    <w:p w:rsidR="002A25B1" w:rsidRDefault="00CF6985">
      <w:pPr>
        <w:pStyle w:val="Textoindependiente"/>
        <w:spacing w:after="225"/>
        <w:jc w:val="both"/>
        <w:rPr>
          <w:rFonts w:ascii="Arial" w:hAnsi="Arial"/>
          <w:sz w:val="21"/>
          <w:szCs w:val="21"/>
        </w:rPr>
      </w:pPr>
      <w:r>
        <w:rPr>
          <w:rFonts w:ascii="Arial" w:hAnsi="Arial"/>
          <w:sz w:val="21"/>
          <w:szCs w:val="21"/>
        </w:rPr>
        <w:t xml:space="preserve">Esta </w:t>
      </w:r>
      <w:proofErr w:type="spellStart"/>
      <w:r>
        <w:rPr>
          <w:rFonts w:ascii="Arial" w:hAnsi="Arial"/>
          <w:sz w:val="21"/>
          <w:szCs w:val="21"/>
        </w:rPr>
        <w:t>Ley</w:t>
      </w:r>
      <w:proofErr w:type="spellEnd"/>
      <w:r>
        <w:rPr>
          <w:rFonts w:ascii="Arial" w:hAnsi="Arial"/>
          <w:sz w:val="21"/>
          <w:szCs w:val="21"/>
        </w:rPr>
        <w:t xml:space="preserve"> </w:t>
      </w:r>
      <w:proofErr w:type="spellStart"/>
      <w:r>
        <w:rPr>
          <w:rFonts w:ascii="Arial" w:hAnsi="Arial"/>
          <w:sz w:val="21"/>
          <w:szCs w:val="21"/>
        </w:rPr>
        <w:t>Orgánica</w:t>
      </w:r>
      <w:proofErr w:type="spellEnd"/>
      <w:r>
        <w:rPr>
          <w:rFonts w:ascii="Arial" w:hAnsi="Arial"/>
          <w:sz w:val="21"/>
          <w:szCs w:val="21"/>
        </w:rPr>
        <w:t xml:space="preserve"> se dicta al </w:t>
      </w:r>
      <w:proofErr w:type="spellStart"/>
      <w:r>
        <w:rPr>
          <w:rFonts w:ascii="Arial" w:hAnsi="Arial"/>
          <w:sz w:val="21"/>
          <w:szCs w:val="21"/>
        </w:rPr>
        <w:t>amparo</w:t>
      </w:r>
      <w:proofErr w:type="spellEnd"/>
      <w:r>
        <w:rPr>
          <w:rFonts w:ascii="Arial" w:hAnsi="Arial"/>
          <w:sz w:val="21"/>
          <w:szCs w:val="21"/>
        </w:rPr>
        <w:t xml:space="preserve"> de la </w:t>
      </w:r>
      <w:proofErr w:type="spellStart"/>
      <w:r>
        <w:rPr>
          <w:rFonts w:ascii="Arial" w:hAnsi="Arial"/>
          <w:sz w:val="21"/>
          <w:szCs w:val="21"/>
        </w:rPr>
        <w:t>competencia</w:t>
      </w:r>
      <w:proofErr w:type="spellEnd"/>
      <w:r>
        <w:rPr>
          <w:rFonts w:ascii="Arial" w:hAnsi="Arial"/>
          <w:sz w:val="21"/>
          <w:szCs w:val="21"/>
        </w:rPr>
        <w:t xml:space="preserve"> que el </w:t>
      </w:r>
      <w:proofErr w:type="spellStart"/>
      <w:r>
        <w:rPr>
          <w:rFonts w:ascii="Arial" w:hAnsi="Arial"/>
          <w:sz w:val="21"/>
          <w:szCs w:val="21"/>
        </w:rPr>
        <w:t>artículo</w:t>
      </w:r>
      <w:proofErr w:type="spellEnd"/>
      <w:r>
        <w:rPr>
          <w:rFonts w:ascii="Arial" w:hAnsi="Arial"/>
          <w:sz w:val="21"/>
          <w:szCs w:val="21"/>
        </w:rPr>
        <w:t xml:space="preserve"> 149.1.6.º de la </w:t>
      </w:r>
      <w:proofErr w:type="spellStart"/>
      <w:r>
        <w:rPr>
          <w:rFonts w:ascii="Arial" w:hAnsi="Arial"/>
          <w:sz w:val="21"/>
          <w:szCs w:val="21"/>
        </w:rPr>
        <w:t>Constitución</w:t>
      </w:r>
      <w:proofErr w:type="spellEnd"/>
    </w:p>
    <w:p w:rsidR="002A25B1" w:rsidRDefault="00CF6985">
      <w:pPr>
        <w:pStyle w:val="Textoindependiente"/>
        <w:spacing w:after="225"/>
        <w:jc w:val="both"/>
        <w:rPr>
          <w:rFonts w:ascii="Arial" w:hAnsi="Arial"/>
          <w:sz w:val="21"/>
          <w:szCs w:val="21"/>
        </w:rPr>
      </w:pPr>
      <w:proofErr w:type="spellStart"/>
      <w:r>
        <w:rPr>
          <w:rFonts w:ascii="Arial" w:hAnsi="Arial"/>
          <w:sz w:val="21"/>
          <w:szCs w:val="21"/>
        </w:rPr>
        <w:t>atribuye</w:t>
      </w:r>
      <w:proofErr w:type="spellEnd"/>
      <w:r>
        <w:rPr>
          <w:rFonts w:ascii="Arial" w:hAnsi="Arial"/>
          <w:sz w:val="21"/>
          <w:szCs w:val="21"/>
        </w:rPr>
        <w:t xml:space="preserve"> al Estado en </w:t>
      </w:r>
      <w:proofErr w:type="spellStart"/>
      <w:r>
        <w:rPr>
          <w:rFonts w:ascii="Arial" w:hAnsi="Arial"/>
          <w:sz w:val="21"/>
          <w:szCs w:val="21"/>
        </w:rPr>
        <w:t>materia</w:t>
      </w:r>
      <w:proofErr w:type="spellEnd"/>
      <w:r>
        <w:rPr>
          <w:rFonts w:ascii="Arial" w:hAnsi="Arial"/>
          <w:sz w:val="21"/>
          <w:szCs w:val="21"/>
        </w:rPr>
        <w:t xml:space="preserve"> de </w:t>
      </w:r>
      <w:proofErr w:type="spellStart"/>
      <w:r>
        <w:rPr>
          <w:rFonts w:ascii="Arial" w:hAnsi="Arial"/>
          <w:sz w:val="21"/>
          <w:szCs w:val="21"/>
        </w:rPr>
        <w:t>legislación</w:t>
      </w:r>
      <w:proofErr w:type="spellEnd"/>
      <w:r>
        <w:rPr>
          <w:rFonts w:ascii="Arial" w:hAnsi="Arial"/>
          <w:sz w:val="21"/>
          <w:szCs w:val="21"/>
        </w:rPr>
        <w:t xml:space="preserve"> penal.</w:t>
      </w:r>
    </w:p>
    <w:p w:rsidR="002A25B1" w:rsidRDefault="002A25B1">
      <w:pPr>
        <w:pStyle w:val="Textoindependiente"/>
        <w:spacing w:after="225"/>
        <w:jc w:val="both"/>
        <w:rPr>
          <w:rFonts w:ascii="Arial" w:hAnsi="Arial"/>
          <w:sz w:val="21"/>
          <w:szCs w:val="21"/>
        </w:rPr>
      </w:pPr>
    </w:p>
    <w:p w:rsidR="002A25B1" w:rsidRDefault="00CF6985">
      <w:pPr>
        <w:pStyle w:val="Textoindependiente"/>
        <w:spacing w:after="225"/>
        <w:jc w:val="both"/>
        <w:rPr>
          <w:rFonts w:ascii="Arial" w:hAnsi="Arial"/>
          <w:b/>
          <w:bCs/>
          <w:sz w:val="21"/>
          <w:szCs w:val="21"/>
        </w:rPr>
      </w:pPr>
      <w:proofErr w:type="spellStart"/>
      <w:r>
        <w:rPr>
          <w:rFonts w:ascii="Arial" w:hAnsi="Arial"/>
          <w:b/>
          <w:bCs/>
          <w:sz w:val="21"/>
          <w:szCs w:val="21"/>
        </w:rPr>
        <w:t>Disposición</w:t>
      </w:r>
      <w:proofErr w:type="spellEnd"/>
      <w:r>
        <w:rPr>
          <w:rFonts w:ascii="Arial" w:hAnsi="Arial"/>
          <w:b/>
          <w:bCs/>
          <w:sz w:val="21"/>
          <w:szCs w:val="21"/>
        </w:rPr>
        <w:t xml:space="preserve"> final </w:t>
      </w:r>
      <w:proofErr w:type="spellStart"/>
      <w:r>
        <w:rPr>
          <w:rFonts w:ascii="Arial" w:hAnsi="Arial"/>
          <w:b/>
          <w:bCs/>
          <w:sz w:val="21"/>
          <w:szCs w:val="21"/>
        </w:rPr>
        <w:t>segunda</w:t>
      </w:r>
      <w:proofErr w:type="spellEnd"/>
      <w:r>
        <w:rPr>
          <w:rFonts w:ascii="Arial" w:hAnsi="Arial"/>
          <w:b/>
          <w:bCs/>
          <w:sz w:val="21"/>
          <w:szCs w:val="21"/>
        </w:rPr>
        <w:t xml:space="preserve">. </w:t>
      </w:r>
      <w:proofErr w:type="spellStart"/>
      <w:r>
        <w:rPr>
          <w:rFonts w:ascii="Arial" w:hAnsi="Arial"/>
          <w:b/>
          <w:bCs/>
          <w:sz w:val="21"/>
          <w:szCs w:val="21"/>
        </w:rPr>
        <w:t>Habilitación</w:t>
      </w:r>
      <w:proofErr w:type="spellEnd"/>
      <w:r>
        <w:rPr>
          <w:rFonts w:ascii="Arial" w:hAnsi="Arial"/>
          <w:b/>
          <w:bCs/>
          <w:sz w:val="21"/>
          <w:szCs w:val="21"/>
        </w:rPr>
        <w:t xml:space="preserve"> normativa.</w:t>
      </w:r>
    </w:p>
    <w:p w:rsidR="002A25B1" w:rsidRDefault="00CF6985">
      <w:pPr>
        <w:pStyle w:val="Textoindependiente"/>
        <w:spacing w:after="225"/>
        <w:jc w:val="both"/>
        <w:rPr>
          <w:rFonts w:ascii="Arial" w:hAnsi="Arial"/>
          <w:sz w:val="21"/>
          <w:szCs w:val="21"/>
        </w:rPr>
      </w:pPr>
      <w:r>
        <w:rPr>
          <w:rFonts w:ascii="Arial" w:hAnsi="Arial"/>
          <w:sz w:val="21"/>
          <w:szCs w:val="21"/>
        </w:rPr>
        <w:t>Se h</w:t>
      </w:r>
      <w:r>
        <w:rPr>
          <w:rFonts w:ascii="Arial" w:hAnsi="Arial"/>
          <w:sz w:val="21"/>
          <w:szCs w:val="21"/>
        </w:rPr>
        <w:t xml:space="preserve">abilita al </w:t>
      </w:r>
      <w:proofErr w:type="spellStart"/>
      <w:r>
        <w:rPr>
          <w:rFonts w:ascii="Arial" w:hAnsi="Arial"/>
          <w:sz w:val="21"/>
          <w:szCs w:val="21"/>
        </w:rPr>
        <w:t>Gobierno</w:t>
      </w:r>
      <w:proofErr w:type="spellEnd"/>
      <w:r>
        <w:rPr>
          <w:rFonts w:ascii="Arial" w:hAnsi="Arial"/>
          <w:sz w:val="21"/>
          <w:szCs w:val="21"/>
        </w:rPr>
        <w:t xml:space="preserve"> para dictar las </w:t>
      </w:r>
      <w:proofErr w:type="spellStart"/>
      <w:r>
        <w:rPr>
          <w:rFonts w:ascii="Arial" w:hAnsi="Arial"/>
          <w:sz w:val="21"/>
          <w:szCs w:val="21"/>
        </w:rPr>
        <w:t>disposiciones</w:t>
      </w:r>
      <w:proofErr w:type="spellEnd"/>
      <w:r>
        <w:rPr>
          <w:rFonts w:ascii="Arial" w:hAnsi="Arial"/>
          <w:sz w:val="21"/>
          <w:szCs w:val="21"/>
        </w:rPr>
        <w:t xml:space="preserve"> que </w:t>
      </w:r>
      <w:proofErr w:type="spellStart"/>
      <w:r>
        <w:rPr>
          <w:rFonts w:ascii="Arial" w:hAnsi="Arial"/>
          <w:sz w:val="21"/>
          <w:szCs w:val="21"/>
        </w:rPr>
        <w:t>sean</w:t>
      </w:r>
      <w:proofErr w:type="spellEnd"/>
      <w:r>
        <w:rPr>
          <w:rFonts w:ascii="Arial" w:hAnsi="Arial"/>
          <w:sz w:val="21"/>
          <w:szCs w:val="21"/>
        </w:rPr>
        <w:t xml:space="preserve"> </w:t>
      </w:r>
      <w:proofErr w:type="spellStart"/>
      <w:r>
        <w:rPr>
          <w:rFonts w:ascii="Arial" w:hAnsi="Arial"/>
          <w:sz w:val="21"/>
          <w:szCs w:val="21"/>
        </w:rPr>
        <w:t>necesarias</w:t>
      </w:r>
      <w:proofErr w:type="spellEnd"/>
      <w:r>
        <w:rPr>
          <w:rFonts w:ascii="Arial" w:hAnsi="Arial"/>
          <w:sz w:val="21"/>
          <w:szCs w:val="21"/>
        </w:rPr>
        <w:t xml:space="preserve"> para la </w:t>
      </w:r>
      <w:proofErr w:type="spellStart"/>
      <w:r>
        <w:rPr>
          <w:rFonts w:ascii="Arial" w:hAnsi="Arial"/>
          <w:sz w:val="21"/>
          <w:szCs w:val="21"/>
        </w:rPr>
        <w:t>ejecución</w:t>
      </w:r>
      <w:proofErr w:type="spellEnd"/>
      <w:r>
        <w:rPr>
          <w:rFonts w:ascii="Arial" w:hAnsi="Arial"/>
          <w:sz w:val="21"/>
          <w:szCs w:val="21"/>
        </w:rPr>
        <w:t xml:space="preserve"> y </w:t>
      </w:r>
      <w:proofErr w:type="spellStart"/>
      <w:r>
        <w:rPr>
          <w:rFonts w:ascii="Arial" w:hAnsi="Arial"/>
          <w:sz w:val="21"/>
          <w:szCs w:val="21"/>
        </w:rPr>
        <w:t>desarrollo</w:t>
      </w:r>
      <w:proofErr w:type="spellEnd"/>
    </w:p>
    <w:p w:rsidR="002A25B1" w:rsidRDefault="00CF6985">
      <w:pPr>
        <w:pStyle w:val="Textoindependiente"/>
        <w:spacing w:after="225"/>
        <w:jc w:val="both"/>
        <w:rPr>
          <w:rFonts w:ascii="Arial" w:hAnsi="Arial"/>
          <w:sz w:val="21"/>
          <w:szCs w:val="21"/>
        </w:rPr>
      </w:pPr>
      <w:r>
        <w:rPr>
          <w:rFonts w:ascii="Arial" w:hAnsi="Arial"/>
          <w:sz w:val="21"/>
          <w:szCs w:val="21"/>
        </w:rPr>
        <w:t xml:space="preserve">de lo </w:t>
      </w:r>
      <w:proofErr w:type="spellStart"/>
      <w:r>
        <w:rPr>
          <w:rFonts w:ascii="Arial" w:hAnsi="Arial"/>
          <w:sz w:val="21"/>
          <w:szCs w:val="21"/>
        </w:rPr>
        <w:t>establecido</w:t>
      </w:r>
      <w:proofErr w:type="spellEnd"/>
      <w:r>
        <w:rPr>
          <w:rFonts w:ascii="Arial" w:hAnsi="Arial"/>
          <w:sz w:val="21"/>
          <w:szCs w:val="21"/>
        </w:rPr>
        <w:t xml:space="preserve"> en esta </w:t>
      </w:r>
      <w:proofErr w:type="spellStart"/>
      <w:r>
        <w:rPr>
          <w:rFonts w:ascii="Arial" w:hAnsi="Arial"/>
          <w:sz w:val="21"/>
          <w:szCs w:val="21"/>
        </w:rPr>
        <w:t>Ley</w:t>
      </w:r>
      <w:proofErr w:type="spellEnd"/>
      <w:r>
        <w:rPr>
          <w:rFonts w:ascii="Arial" w:hAnsi="Arial"/>
          <w:sz w:val="21"/>
          <w:szCs w:val="21"/>
        </w:rPr>
        <w:t>.</w:t>
      </w:r>
    </w:p>
    <w:p w:rsidR="002A25B1" w:rsidRDefault="002A25B1">
      <w:pPr>
        <w:pStyle w:val="Textoindependiente"/>
        <w:spacing w:after="225"/>
        <w:jc w:val="both"/>
        <w:rPr>
          <w:rFonts w:ascii="Arial" w:hAnsi="Arial"/>
          <w:sz w:val="21"/>
          <w:szCs w:val="21"/>
        </w:rPr>
      </w:pPr>
    </w:p>
    <w:p w:rsidR="002A25B1" w:rsidRDefault="00CF6985">
      <w:pPr>
        <w:pStyle w:val="Ttulo5"/>
        <w:keepNext w:val="0"/>
        <w:spacing w:before="220" w:after="40"/>
        <w:jc w:val="both"/>
        <w:rPr>
          <w:rFonts w:ascii="Arial" w:hAnsi="Arial"/>
          <w:sz w:val="21"/>
          <w:szCs w:val="21"/>
        </w:rPr>
      </w:pPr>
      <w:r>
        <w:rPr>
          <w:rFonts w:ascii="Arial" w:hAnsi="Arial"/>
          <w:color w:val="000000"/>
          <w:sz w:val="21"/>
          <w:szCs w:val="21"/>
          <w:lang w:val="es-ES"/>
        </w:rPr>
        <w:t>Disposición final tercera. Entrada en vigor.</w:t>
      </w:r>
    </w:p>
    <w:p w:rsidR="002A25B1" w:rsidRDefault="002A25B1">
      <w:pPr>
        <w:pStyle w:val="Textoindependiente"/>
        <w:spacing w:before="220" w:after="40"/>
        <w:jc w:val="both"/>
        <w:rPr>
          <w:rFonts w:hint="eastAsia"/>
          <w:b/>
          <w:color w:val="000000"/>
          <w:lang w:val="es-ES"/>
        </w:rPr>
      </w:pPr>
    </w:p>
    <w:p w:rsidR="002A25B1" w:rsidRDefault="00CF6985">
      <w:pPr>
        <w:spacing w:after="225"/>
        <w:jc w:val="both"/>
        <w:rPr>
          <w:rFonts w:hint="eastAsia"/>
        </w:rPr>
      </w:pPr>
      <w:r>
        <w:rPr>
          <w:rFonts w:ascii="Arial" w:hAnsi="Arial"/>
          <w:sz w:val="21"/>
          <w:szCs w:val="21"/>
          <w:lang w:val="es-ES"/>
        </w:rPr>
        <w:t>La presente Ley entrará en vigor al día siguiente de su publicación en el Bol</w:t>
      </w:r>
      <w:r>
        <w:rPr>
          <w:rFonts w:ascii="Arial" w:hAnsi="Arial"/>
          <w:sz w:val="21"/>
          <w:szCs w:val="21"/>
          <w:lang w:val="es-ES"/>
        </w:rPr>
        <w:t>etín Oficial del Estado.</w:t>
      </w:r>
    </w:p>
    <w:sectPr w:rsidR="002A25B1">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Helvetica;sans-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13CF"/>
    <w:multiLevelType w:val="multilevel"/>
    <w:tmpl w:val="3AC884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B1"/>
    <w:rsid w:val="002A25B1"/>
    <w:rsid w:val="00CF69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660FC-E39B-4BA2-AC94-765A59E0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Cs w:val="24"/>
        <w:lang w:val="ca-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tulo3">
    <w:name w:val="heading 3"/>
    <w:basedOn w:val="Encapalament"/>
    <w:next w:val="Textoindependiente"/>
    <w:qFormat/>
    <w:pPr>
      <w:numPr>
        <w:ilvl w:val="2"/>
        <w:numId w:val="1"/>
      </w:numPr>
      <w:spacing w:before="140"/>
      <w:outlineLvl w:val="2"/>
    </w:pPr>
    <w:rPr>
      <w:rFonts w:ascii="Liberation Serif" w:eastAsia="NSimSun" w:hAnsi="Liberation Serif"/>
      <w:b/>
      <w:bCs/>
    </w:rPr>
  </w:style>
  <w:style w:type="paragraph" w:styleId="Ttulo5">
    <w:name w:val="heading 5"/>
    <w:basedOn w:val="Encapalament"/>
    <w:next w:val="Textoindependiente"/>
    <w:qFormat/>
    <w:pPr>
      <w:spacing w:before="120" w:after="60"/>
      <w:outlineLvl w:val="4"/>
    </w:pPr>
    <w:rPr>
      <w:rFonts w:ascii="Liberation Serif" w:eastAsia="NSimSun" w:hAnsi="Liberation Serif"/>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ladInternet">
    <w:name w:val="Enllaç d'Internet"/>
    <w:rPr>
      <w:color w:val="000080"/>
      <w:u w:val="single"/>
    </w:rPr>
  </w:style>
  <w:style w:type="character" w:customStyle="1" w:styleId="mfasi">
    <w:name w:val="Èmfasi"/>
    <w:qFormat/>
    <w:rPr>
      <w:i/>
      <w:iCs/>
    </w:rPr>
  </w:style>
  <w:style w:type="paragraph" w:customStyle="1" w:styleId="Encapalament">
    <w:name w:val="Encapçalament"/>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ex">
    <w:name w:val="Índex"/>
    <w:basedOn w:val="Normal"/>
    <w:qFormat/>
    <w:pPr>
      <w:suppressLineNumbers/>
    </w:pPr>
  </w:style>
  <w:style w:type="paragraph" w:customStyle="1" w:styleId="Lniahoritzontal">
    <w:name w:val="Línia horitzontal"/>
    <w:basedOn w:val="Normal"/>
    <w:next w:val="Textoindependiente"/>
    <w:qFormat/>
    <w:pPr>
      <w:suppressLineNumbers/>
      <w:pBdr>
        <w:bottom w:val="double" w:sz="2" w:space="0" w:color="808080"/>
      </w:pBdr>
      <w:spacing w:after="283"/>
    </w:pPr>
    <w:rPr>
      <w:sz w:val="12"/>
      <w:szCs w:val="12"/>
    </w:rPr>
  </w:style>
  <w:style w:type="paragraph" w:customStyle="1" w:styleId="Pa43">
    <w:name w:val="Pa43"/>
    <w:qFormat/>
    <w:pPr>
      <w:spacing w:line="181" w:lineRule="atLeas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2959</Words>
  <Characters>16279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Comentarios a la Constitución Española. Tomo I</vt:lpstr>
    </vt:vector>
  </TitlesOfParts>
  <Company>Congreso de los Diputados</Company>
  <LinksUpToDate>false</LinksUpToDate>
  <CharactersWithSpaces>19200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Comentarios a la Constitución Española. Tomo I</dc:title>
  <dc:subject/>
  <dc:creator>Miguel Rodríguez-Piñero y Bravo-Ferrer</dc:creator>
  <dc:description/>
  <cp:lastModifiedBy>Jordi Molina Galindo</cp:lastModifiedBy>
  <cp:revision>2</cp:revision>
  <dcterms:created xsi:type="dcterms:W3CDTF">2020-09-21T10:29:00Z</dcterms:created>
  <dcterms:modified xsi:type="dcterms:W3CDTF">2020-09-21T10:29:00Z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Congreso de los Diputados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